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970F64" w14:textId="32DE7009" w:rsidR="00A3486C" w:rsidRPr="00DD4300" w:rsidRDefault="00A3486C" w:rsidP="00A3486C">
      <w:pPr>
        <w:pStyle w:val="a7"/>
        <w:rPr>
          <w:sz w:val="24"/>
          <w:lang w:val="en-US" w:eastAsia="ja-JP"/>
        </w:rPr>
      </w:pPr>
      <w:bookmarkStart w:id="0" w:name="OLE_LINK3"/>
      <w:r w:rsidRPr="00DD4300">
        <w:rPr>
          <w:sz w:val="24"/>
          <w:lang w:val="en-US" w:eastAsia="ja-JP"/>
        </w:rPr>
        <w:t>3GPP TSG RAN</w:t>
      </w:r>
      <w:r w:rsidRPr="00DD4300">
        <w:rPr>
          <w:rFonts w:hint="eastAsia"/>
          <w:sz w:val="24"/>
          <w:lang w:val="en-US" w:eastAsia="ja-JP"/>
        </w:rPr>
        <w:t xml:space="preserve"> WG1 Meeting #8</w:t>
      </w:r>
      <w:r>
        <w:rPr>
          <w:rFonts w:hint="eastAsia"/>
          <w:sz w:val="24"/>
          <w:lang w:val="en-US" w:eastAsia="ja-JP"/>
        </w:rPr>
        <w:t>9</w:t>
      </w:r>
      <w:r w:rsidRPr="00DD4300">
        <w:rPr>
          <w:rFonts w:hint="eastAsia"/>
          <w:sz w:val="24"/>
          <w:lang w:val="en-US" w:eastAsia="ja-JP"/>
        </w:rPr>
        <w:t xml:space="preserve">         </w:t>
      </w:r>
      <w:r>
        <w:rPr>
          <w:rFonts w:hint="eastAsia"/>
          <w:sz w:val="24"/>
          <w:lang w:val="en-US" w:eastAsia="ja-JP"/>
        </w:rPr>
        <w:t xml:space="preserve">    </w:t>
      </w:r>
      <w:r w:rsidRPr="00DD4300">
        <w:rPr>
          <w:rFonts w:hint="eastAsia"/>
          <w:sz w:val="24"/>
          <w:lang w:val="en-US" w:eastAsia="ja-JP"/>
        </w:rPr>
        <w:t xml:space="preserve">                                                      </w:t>
      </w:r>
      <w:r w:rsidRPr="00CA29C3">
        <w:rPr>
          <w:sz w:val="24"/>
          <w:lang w:val="en-US" w:eastAsia="ja-JP"/>
        </w:rPr>
        <w:t>R1-17</w:t>
      </w:r>
      <w:r w:rsidRPr="00CA29C3">
        <w:rPr>
          <w:rFonts w:hint="eastAsia"/>
          <w:sz w:val="24"/>
          <w:lang w:val="en-US" w:eastAsia="ja-JP"/>
        </w:rPr>
        <w:t>0</w:t>
      </w:r>
      <w:r w:rsidR="000A455D">
        <w:rPr>
          <w:rFonts w:hint="eastAsia"/>
          <w:sz w:val="24"/>
          <w:lang w:val="en-US" w:eastAsia="ja-JP"/>
        </w:rPr>
        <w:t>8495</w:t>
      </w:r>
    </w:p>
    <w:p w14:paraId="62365D19" w14:textId="77777777" w:rsidR="00A3486C" w:rsidRPr="00DD4300" w:rsidRDefault="00A3486C" w:rsidP="00A3486C">
      <w:pPr>
        <w:pStyle w:val="a7"/>
        <w:rPr>
          <w:sz w:val="24"/>
          <w:lang w:val="en-US" w:eastAsia="ja-JP"/>
        </w:rPr>
      </w:pPr>
      <w:r>
        <w:rPr>
          <w:sz w:val="24"/>
          <w:lang w:val="en-US" w:eastAsia="ja-JP"/>
        </w:rPr>
        <w:t>Hangzhou, P.R. China 15</w:t>
      </w:r>
      <w:r w:rsidRPr="001B6B86">
        <w:rPr>
          <w:rFonts w:hint="eastAsia"/>
          <w:sz w:val="24"/>
          <w:vertAlign w:val="superscript"/>
          <w:lang w:val="en-US" w:eastAsia="ja-JP"/>
        </w:rPr>
        <w:t>th</w:t>
      </w:r>
      <w:r>
        <w:rPr>
          <w:sz w:val="24"/>
          <w:lang w:val="en-US" w:eastAsia="ja-JP"/>
        </w:rPr>
        <w:t xml:space="preserve"> – 19</w:t>
      </w:r>
      <w:r w:rsidRPr="001B6B86">
        <w:rPr>
          <w:rFonts w:hint="eastAsia"/>
          <w:sz w:val="24"/>
          <w:vertAlign w:val="superscript"/>
          <w:lang w:val="en-US" w:eastAsia="ja-JP"/>
        </w:rPr>
        <w:t>th</w:t>
      </w:r>
      <w:r w:rsidRPr="001B6B86">
        <w:rPr>
          <w:sz w:val="24"/>
          <w:lang w:val="en-US" w:eastAsia="ja-JP"/>
        </w:rPr>
        <w:t xml:space="preserve"> May 2017</w:t>
      </w:r>
    </w:p>
    <w:p w14:paraId="0F466C71" w14:textId="77777777" w:rsidR="00E57BD0" w:rsidRPr="00274139" w:rsidRDefault="00E57BD0" w:rsidP="002123E7">
      <w:pPr>
        <w:pStyle w:val="a7"/>
        <w:rPr>
          <w:noProof w:val="0"/>
          <w:lang w:val="en-US" w:eastAsia="ja-JP"/>
        </w:rPr>
      </w:pPr>
    </w:p>
    <w:p w14:paraId="1BBADE2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6AE9535C" w14:textId="03D291C0"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8073A0">
        <w:rPr>
          <w:rFonts w:hint="eastAsia"/>
          <w:sz w:val="24"/>
          <w:lang w:val="en-US" w:eastAsia="ja-JP"/>
        </w:rPr>
        <w:t>Further v</w:t>
      </w:r>
      <w:r w:rsidR="003A2A40">
        <w:rPr>
          <w:sz w:val="24"/>
          <w:lang w:val="en-US"/>
        </w:rPr>
        <w:t xml:space="preserve">iews on </w:t>
      </w:r>
      <w:r w:rsidR="003C7BDE">
        <w:rPr>
          <w:rFonts w:hint="eastAsia"/>
          <w:sz w:val="24"/>
          <w:lang w:val="en-US" w:eastAsia="ja-JP"/>
        </w:rPr>
        <w:t>LTE-NR</w:t>
      </w:r>
      <w:r w:rsidR="00B3454D">
        <w:rPr>
          <w:rFonts w:hint="eastAsia"/>
          <w:sz w:val="24"/>
          <w:lang w:val="en-US" w:eastAsia="ja-JP"/>
        </w:rPr>
        <w:t xml:space="preserve"> co-existence</w:t>
      </w:r>
    </w:p>
    <w:p w14:paraId="142FDE6B" w14:textId="2409BCA5"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8073A0">
        <w:rPr>
          <w:rFonts w:hint="eastAsia"/>
          <w:sz w:val="24"/>
          <w:lang w:val="en-US" w:eastAsia="ja-JP"/>
        </w:rPr>
        <w:t>7</w:t>
      </w:r>
      <w:r w:rsidR="00B3454D">
        <w:rPr>
          <w:sz w:val="24"/>
          <w:lang w:val="en-US"/>
        </w:rPr>
        <w:t>.1.</w:t>
      </w:r>
      <w:r w:rsidR="00274139">
        <w:rPr>
          <w:rFonts w:hint="eastAsia"/>
          <w:sz w:val="24"/>
          <w:lang w:val="en-US" w:eastAsia="ja-JP"/>
        </w:rPr>
        <w:t>8</w:t>
      </w:r>
    </w:p>
    <w:p w14:paraId="0B747B3A"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EA8171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33D7359" w14:textId="602DABD8" w:rsidR="005A0983" w:rsidRDefault="00331E4B" w:rsidP="00D916AA">
      <w:pPr>
        <w:spacing w:afterLines="50" w:after="120"/>
        <w:jc w:val="both"/>
        <w:rPr>
          <w:rFonts w:eastAsia="ＭＳ 明朝"/>
          <w:sz w:val="22"/>
          <w:lang w:val="en-US"/>
        </w:rPr>
      </w:pPr>
      <w:r>
        <w:rPr>
          <w:rFonts w:eastAsia="ＭＳ 明朝" w:hint="eastAsia"/>
          <w:sz w:val="22"/>
          <w:lang w:val="en-US"/>
        </w:rPr>
        <w:t>In the ag</w:t>
      </w:r>
      <w:r w:rsidR="00E42E54">
        <w:rPr>
          <w:rFonts w:eastAsia="ＭＳ 明朝" w:hint="eastAsia"/>
          <w:sz w:val="22"/>
          <w:lang w:val="en-US"/>
        </w:rPr>
        <w:t>r</w:t>
      </w:r>
      <w:r>
        <w:rPr>
          <w:rFonts w:eastAsia="ＭＳ 明朝" w:hint="eastAsia"/>
          <w:sz w:val="22"/>
          <w:lang w:val="en-US"/>
        </w:rPr>
        <w:t>eed NR WID</w:t>
      </w:r>
      <w:r w:rsidR="005A0983">
        <w:rPr>
          <w:rFonts w:eastAsia="ＭＳ 明朝" w:hint="eastAsia"/>
          <w:sz w:val="22"/>
          <w:lang w:val="en-US"/>
        </w:rPr>
        <w:t xml:space="preserve">, </w:t>
      </w:r>
      <w:r>
        <w:rPr>
          <w:rFonts w:eastAsia="ＭＳ 明朝" w:hint="eastAsia"/>
          <w:sz w:val="22"/>
          <w:lang w:val="en-US"/>
        </w:rPr>
        <w:t xml:space="preserve">the </w:t>
      </w:r>
      <w:r w:rsidR="005A0983">
        <w:rPr>
          <w:rFonts w:eastAsia="ＭＳ 明朝" w:hint="eastAsia"/>
          <w:sz w:val="22"/>
          <w:lang w:val="en-US"/>
        </w:rPr>
        <w:t xml:space="preserve">following </w:t>
      </w:r>
      <w:r>
        <w:rPr>
          <w:rFonts w:eastAsia="ＭＳ 明朝"/>
          <w:sz w:val="22"/>
          <w:lang w:val="en-US"/>
        </w:rPr>
        <w:t>scopes</w:t>
      </w:r>
      <w:r>
        <w:rPr>
          <w:rFonts w:eastAsia="ＭＳ 明朝" w:hint="eastAsia"/>
          <w:sz w:val="22"/>
          <w:lang w:val="en-US"/>
        </w:rPr>
        <w:t xml:space="preserve"> are captured</w:t>
      </w:r>
      <w:r w:rsidR="005A0983">
        <w:rPr>
          <w:rFonts w:eastAsia="ＭＳ 明朝" w:hint="eastAsia"/>
          <w:sz w:val="22"/>
          <w:lang w:val="en-US"/>
        </w:rPr>
        <w:t xml:space="preserve"> [</w:t>
      </w:r>
      <w:r w:rsidR="005A0983">
        <w:rPr>
          <w:rFonts w:eastAsia="ＭＳ 明朝"/>
          <w:sz w:val="22"/>
          <w:lang w:val="en-US"/>
        </w:rPr>
        <w:t>1</w:t>
      </w:r>
      <w:r w:rsidR="005A0983">
        <w:rPr>
          <w:rFonts w:eastAsia="ＭＳ 明朝" w:hint="eastAsia"/>
          <w:sz w:val="22"/>
          <w:lang w:val="en-US"/>
        </w:rPr>
        <w:t>]</w:t>
      </w:r>
      <w:r w:rsidR="005A0983">
        <w:rPr>
          <w:rFonts w:eastAsia="ＭＳ 明朝"/>
          <w:sz w:val="22"/>
          <w:lang w:val="en-US"/>
        </w:rPr>
        <w:t>:</w:t>
      </w:r>
    </w:p>
    <w:tbl>
      <w:tblPr>
        <w:tblStyle w:val="afa"/>
        <w:tblW w:w="0" w:type="auto"/>
        <w:tblLook w:val="04A0" w:firstRow="1" w:lastRow="0" w:firstColumn="1" w:lastColumn="0" w:noHBand="0" w:noVBand="1"/>
      </w:tblPr>
      <w:tblGrid>
        <w:gridCol w:w="10170"/>
      </w:tblGrid>
      <w:tr w:rsidR="005A0983" w14:paraId="2209037C" w14:textId="77777777" w:rsidTr="005A0983">
        <w:tc>
          <w:tcPr>
            <w:tcW w:w="10170" w:type="dxa"/>
          </w:tcPr>
          <w:p w14:paraId="58B7E545" w14:textId="77777777" w:rsidR="00331E4B" w:rsidRPr="00A3486C" w:rsidRDefault="00331E4B" w:rsidP="00331E4B">
            <w:pPr>
              <w:ind w:left="568" w:hanging="284"/>
              <w:rPr>
                <w:rFonts w:eastAsia="ＭＳ 明朝"/>
                <w:sz w:val="22"/>
              </w:rPr>
            </w:pPr>
            <w:r w:rsidRPr="00331E4B">
              <w:rPr>
                <w:rFonts w:eastAsia="ＭＳ 明朝" w:hint="eastAsia"/>
                <w:sz w:val="20"/>
              </w:rPr>
              <w:t>-</w:t>
            </w:r>
            <w:r w:rsidRPr="00331E4B">
              <w:rPr>
                <w:rFonts w:eastAsia="ＭＳ 明朝" w:hint="eastAsia"/>
                <w:sz w:val="20"/>
              </w:rPr>
              <w:tab/>
            </w:r>
            <w:r w:rsidRPr="00A3486C">
              <w:rPr>
                <w:rFonts w:eastAsia="ＭＳ 明朝"/>
                <w:sz w:val="22"/>
              </w:rPr>
              <w:t>NR-LTE co-existence mechanisms [RAN1, RAN2, RAN4]</w:t>
            </w:r>
            <w:r w:rsidRPr="00A3486C">
              <w:rPr>
                <w:rFonts w:eastAsia="ＭＳ 明朝" w:hint="eastAsia"/>
                <w:sz w:val="22"/>
              </w:rPr>
              <w:t>;</w:t>
            </w:r>
          </w:p>
          <w:p w14:paraId="21E36162" w14:textId="77777777" w:rsidR="00331E4B" w:rsidRPr="00A3486C" w:rsidRDefault="00331E4B" w:rsidP="00331E4B">
            <w:pPr>
              <w:ind w:left="851" w:hanging="284"/>
              <w:rPr>
                <w:rFonts w:eastAsia="ＭＳ 明朝"/>
                <w:sz w:val="22"/>
              </w:rPr>
            </w:pPr>
            <w:r w:rsidRPr="00A3486C">
              <w:rPr>
                <w:rFonts w:eastAsia="ＭＳ 明朝" w:hint="eastAsia"/>
                <w:sz w:val="22"/>
              </w:rPr>
              <w:t>-</w:t>
            </w:r>
            <w:r w:rsidRPr="00A3486C">
              <w:rPr>
                <w:rFonts w:eastAsia="ＭＳ 明朝" w:hint="eastAsia"/>
                <w:sz w:val="22"/>
              </w:rPr>
              <w:tab/>
            </w:r>
            <w:r w:rsidRPr="00A3486C">
              <w:rPr>
                <w:rFonts w:eastAsia="ＭＳ 明朝"/>
                <w:sz w:val="22"/>
              </w:rPr>
              <w:t>Support co-existence of LTE UL and NR UL within the bandwidth of an LTE component carrier</w:t>
            </w:r>
            <w:r w:rsidRPr="00A3486C">
              <w:rPr>
                <w:rFonts w:eastAsia="ＭＳ 明朝" w:hint="eastAsia"/>
                <w:sz w:val="22"/>
              </w:rPr>
              <w:t xml:space="preserve"> and </w:t>
            </w:r>
            <w:r w:rsidRPr="00A3486C">
              <w:rPr>
                <w:rFonts w:eastAsia="ＭＳ 明朝"/>
                <w:sz w:val="22"/>
              </w:rPr>
              <w:t xml:space="preserve">co-existence of LTE </w:t>
            </w:r>
            <w:r w:rsidRPr="00A3486C">
              <w:rPr>
                <w:rFonts w:eastAsia="ＭＳ 明朝" w:hint="eastAsia"/>
                <w:sz w:val="22"/>
              </w:rPr>
              <w:t>D</w:t>
            </w:r>
            <w:r w:rsidRPr="00A3486C">
              <w:rPr>
                <w:rFonts w:eastAsia="ＭＳ 明朝"/>
                <w:sz w:val="22"/>
              </w:rPr>
              <w:t xml:space="preserve">L and NR </w:t>
            </w:r>
            <w:r w:rsidRPr="00A3486C">
              <w:rPr>
                <w:rFonts w:eastAsia="ＭＳ 明朝" w:hint="eastAsia"/>
                <w:sz w:val="22"/>
              </w:rPr>
              <w:t>D</w:t>
            </w:r>
            <w:r w:rsidRPr="00A3486C">
              <w:rPr>
                <w:rFonts w:eastAsia="ＭＳ 明朝"/>
                <w:sz w:val="22"/>
              </w:rPr>
              <w:t>L within the bandwidth of an LTE component carrier, and identify and specify at least one NR band/LTE-NR band combination for this operation.</w:t>
            </w:r>
          </w:p>
          <w:p w14:paraId="2B1BB3DC" w14:textId="77777777" w:rsidR="00331E4B" w:rsidRPr="00A3486C" w:rsidRDefault="00331E4B" w:rsidP="00331E4B">
            <w:pPr>
              <w:ind w:left="1135" w:hanging="284"/>
              <w:rPr>
                <w:rFonts w:eastAsia="ＭＳ 明朝"/>
                <w:sz w:val="22"/>
                <w:lang w:val="en-US"/>
              </w:rPr>
            </w:pPr>
            <w:r w:rsidRPr="00A3486C">
              <w:rPr>
                <w:rFonts w:eastAsia="ＭＳ 明朝" w:hint="eastAsia"/>
                <w:sz w:val="22"/>
                <w:lang w:val="en-US"/>
              </w:rPr>
              <w:t>-</w:t>
            </w:r>
            <w:r w:rsidRPr="00A3486C">
              <w:rPr>
                <w:rFonts w:eastAsia="ＭＳ 明朝" w:hint="eastAsia"/>
                <w:sz w:val="22"/>
                <w:lang w:val="en-US"/>
              </w:rPr>
              <w:tab/>
            </w:r>
            <w:r w:rsidRPr="00A3486C">
              <w:rPr>
                <w:rFonts w:eastAsia="ＭＳ 明朝"/>
                <w:sz w:val="22"/>
                <w:lang w:val="en-US"/>
              </w:rPr>
              <w:t>Minimize impact to NR physical layer design to enable this co-existence.</w:t>
            </w:r>
          </w:p>
          <w:p w14:paraId="60CFCECB" w14:textId="77777777" w:rsidR="00331E4B" w:rsidRPr="00A3486C" w:rsidRDefault="00331E4B" w:rsidP="00331E4B">
            <w:pPr>
              <w:ind w:left="1135" w:hanging="284"/>
              <w:rPr>
                <w:rFonts w:eastAsia="ＭＳ 明朝"/>
                <w:sz w:val="22"/>
                <w:lang w:val="en-US"/>
              </w:rPr>
            </w:pPr>
            <w:r w:rsidRPr="00A3486C">
              <w:rPr>
                <w:rFonts w:eastAsia="ＭＳ 明朝" w:hint="eastAsia"/>
                <w:sz w:val="22"/>
                <w:lang w:val="en-US"/>
              </w:rPr>
              <w:t>-</w:t>
            </w:r>
            <w:r w:rsidRPr="00A3486C">
              <w:rPr>
                <w:rFonts w:eastAsia="ＭＳ 明朝" w:hint="eastAsia"/>
                <w:sz w:val="22"/>
                <w:lang w:val="en-US"/>
              </w:rPr>
              <w:tab/>
            </w:r>
            <w:r w:rsidRPr="00A3486C">
              <w:rPr>
                <w:rFonts w:eastAsia="ＭＳ 明朝"/>
                <w:sz w:val="22"/>
                <w:lang w:val="en-US"/>
              </w:rPr>
              <w:t>No impact to the ability of legacy LTE devices to operate on the LTE carrier co-existing with NR</w:t>
            </w:r>
          </w:p>
          <w:p w14:paraId="1FE4A7E0" w14:textId="32BE8CC7" w:rsidR="005A0983" w:rsidRPr="005A0983" w:rsidRDefault="00331E4B" w:rsidP="00E42E54">
            <w:pPr>
              <w:ind w:left="1135" w:hanging="284"/>
              <w:rPr>
                <w:rFonts w:ascii="Times" w:eastAsia="ＭＳ 明朝" w:hAnsi="Times"/>
                <w:sz w:val="20"/>
                <w:lang w:val="en-US"/>
              </w:rPr>
            </w:pPr>
            <w:r w:rsidRPr="00A3486C">
              <w:rPr>
                <w:rFonts w:eastAsia="ＭＳ 明朝" w:hint="eastAsia"/>
                <w:sz w:val="22"/>
                <w:lang w:val="en-US"/>
              </w:rPr>
              <w:t>-</w:t>
            </w:r>
            <w:r w:rsidRPr="00A3486C">
              <w:rPr>
                <w:rFonts w:eastAsia="ＭＳ 明朝" w:hint="eastAsia"/>
                <w:sz w:val="22"/>
                <w:lang w:val="en-US"/>
              </w:rPr>
              <w:tab/>
            </w:r>
            <w:r w:rsidRPr="00A3486C">
              <w:rPr>
                <w:rFonts w:eastAsia="ＭＳ 明朝"/>
                <w:sz w:val="22"/>
                <w:lang w:val="en-US"/>
              </w:rPr>
              <w:t>No implication that UE has to support simultaneous connection of NR and LTE in the bandwidth of an LTE component carrier</w:t>
            </w:r>
          </w:p>
        </w:tc>
      </w:tr>
    </w:tbl>
    <w:p w14:paraId="3802B616" w14:textId="77777777" w:rsidR="005A0983" w:rsidRDefault="005A0983" w:rsidP="00D916AA">
      <w:pPr>
        <w:spacing w:afterLines="50" w:after="120"/>
        <w:jc w:val="both"/>
        <w:rPr>
          <w:rFonts w:eastAsia="ＭＳ 明朝"/>
          <w:sz w:val="22"/>
          <w:lang w:val="en-US"/>
        </w:rPr>
      </w:pPr>
    </w:p>
    <w:p w14:paraId="756A6532" w14:textId="1474D9A9" w:rsidR="00A3486C" w:rsidRDefault="00A3486C" w:rsidP="00D916AA">
      <w:pPr>
        <w:spacing w:afterLines="50" w:after="120"/>
        <w:jc w:val="both"/>
        <w:rPr>
          <w:rFonts w:eastAsia="ＭＳ 明朝"/>
          <w:sz w:val="22"/>
          <w:lang w:val="en-US"/>
        </w:rPr>
      </w:pPr>
      <w:r>
        <w:rPr>
          <w:rFonts w:eastAsia="ＭＳ 明朝" w:hint="eastAsia"/>
          <w:sz w:val="22"/>
          <w:lang w:val="en-US"/>
        </w:rPr>
        <w:t>At the RAN1#88bis meeting, the following conclusions were made and email discussion is continued</w:t>
      </w:r>
    </w:p>
    <w:tbl>
      <w:tblPr>
        <w:tblStyle w:val="afa"/>
        <w:tblW w:w="0" w:type="auto"/>
        <w:tblLook w:val="04A0" w:firstRow="1" w:lastRow="0" w:firstColumn="1" w:lastColumn="0" w:noHBand="0" w:noVBand="1"/>
      </w:tblPr>
      <w:tblGrid>
        <w:gridCol w:w="10170"/>
      </w:tblGrid>
      <w:tr w:rsidR="00A3486C" w14:paraId="193AC60F" w14:textId="77777777" w:rsidTr="00A3486C">
        <w:tc>
          <w:tcPr>
            <w:tcW w:w="10170" w:type="dxa"/>
          </w:tcPr>
          <w:p w14:paraId="7ECCF933" w14:textId="77777777" w:rsidR="00A3486C" w:rsidRPr="00A3486C" w:rsidRDefault="00A3486C" w:rsidP="00A3486C">
            <w:pPr>
              <w:rPr>
                <w:rFonts w:eastAsia="ＭＳ 明朝"/>
                <w:sz w:val="22"/>
                <w:szCs w:val="22"/>
                <w:u w:val="single"/>
              </w:rPr>
            </w:pPr>
            <w:r w:rsidRPr="00A3486C">
              <w:rPr>
                <w:rFonts w:eastAsia="ＭＳ 明朝"/>
                <w:sz w:val="22"/>
                <w:szCs w:val="22"/>
                <w:u w:val="single"/>
              </w:rPr>
              <w:t>Conclusion:</w:t>
            </w:r>
          </w:p>
          <w:p w14:paraId="72B15C9C" w14:textId="657E9EEE" w:rsidR="00A3486C" w:rsidRPr="00A3486C" w:rsidRDefault="00A3486C" w:rsidP="00A3486C">
            <w:pPr>
              <w:numPr>
                <w:ilvl w:val="0"/>
                <w:numId w:val="11"/>
              </w:numPr>
              <w:rPr>
                <w:rFonts w:eastAsia="ＭＳ 明朝"/>
              </w:rPr>
            </w:pPr>
            <w:r w:rsidRPr="00A3486C">
              <w:rPr>
                <w:rFonts w:eastAsia="ＭＳ 明朝"/>
                <w:sz w:val="22"/>
                <w:szCs w:val="22"/>
                <w:lang w:val="en-US"/>
              </w:rPr>
              <w:t>For LTE-NR coexistence in UL, several alternatives were proposed and discussed, and there is no common understanding of the corresponding performance impact. RAN1 to continue the discussion on possible alternative(s) to conclude on the performance impact via evaluation, RAN1 specification impact, analysis of potential impact on other NR features, etc.</w:t>
            </w:r>
          </w:p>
        </w:tc>
      </w:tr>
    </w:tbl>
    <w:p w14:paraId="61CEDCB1" w14:textId="77777777" w:rsidR="00A3486C" w:rsidRPr="00A3486C" w:rsidRDefault="00A3486C" w:rsidP="00D916AA">
      <w:pPr>
        <w:spacing w:afterLines="50" w:after="120"/>
        <w:jc w:val="both"/>
        <w:rPr>
          <w:rFonts w:eastAsia="ＭＳ 明朝"/>
          <w:sz w:val="22"/>
          <w:lang w:val="en-US"/>
        </w:rPr>
      </w:pPr>
    </w:p>
    <w:p w14:paraId="7E9BB2A7" w14:textId="685BC65B" w:rsidR="001C4033" w:rsidRPr="005A0983" w:rsidRDefault="004D07C4" w:rsidP="00D916AA">
      <w:pPr>
        <w:spacing w:afterLines="50" w:after="120"/>
        <w:jc w:val="both"/>
        <w:rPr>
          <w:rFonts w:eastAsia="ＭＳ 明朝"/>
          <w:sz w:val="22"/>
          <w:lang w:val="en-US"/>
        </w:rPr>
      </w:pPr>
      <w:r>
        <w:rPr>
          <w:rFonts w:eastAsia="ＭＳ 明朝" w:hint="eastAsia"/>
          <w:sz w:val="22"/>
          <w:lang w:val="en-US"/>
        </w:rPr>
        <w:t>In this contribution, we present our view regarding LTE-NR co-existence.</w:t>
      </w:r>
    </w:p>
    <w:p w14:paraId="3621B6DE" w14:textId="7463435F" w:rsidR="001C148D" w:rsidRDefault="00BF6498" w:rsidP="001773BB">
      <w:pPr>
        <w:pStyle w:val="1"/>
        <w:numPr>
          <w:ilvl w:val="0"/>
          <w:numId w:val="6"/>
        </w:numPr>
        <w:spacing w:after="120"/>
        <w:jc w:val="both"/>
        <w:rPr>
          <w:b/>
          <w:lang w:val="en-US"/>
        </w:rPr>
      </w:pPr>
      <w:r>
        <w:rPr>
          <w:b/>
          <w:lang w:val="en-US"/>
        </w:rPr>
        <w:t>UL frequency sh</w:t>
      </w:r>
      <w:r w:rsidR="00DD245D">
        <w:rPr>
          <w:b/>
          <w:lang w:val="en-US"/>
        </w:rPr>
        <w:t>aring for collocated LTE and NR</w:t>
      </w:r>
    </w:p>
    <w:p w14:paraId="384FD799" w14:textId="4E6683AC" w:rsidR="00331E4B" w:rsidRDefault="00331E4B" w:rsidP="00C705DB">
      <w:pPr>
        <w:spacing w:afterLines="50" w:after="120"/>
        <w:jc w:val="both"/>
        <w:rPr>
          <w:rFonts w:eastAsiaTheme="minorEastAsia"/>
          <w:sz w:val="22"/>
          <w:lang w:val="en-US"/>
        </w:rPr>
      </w:pPr>
      <w:r>
        <w:rPr>
          <w:rFonts w:eastAsiaTheme="minorEastAsia" w:hint="eastAsia"/>
          <w:sz w:val="22"/>
          <w:lang w:val="en-US"/>
        </w:rPr>
        <w:t>C</w:t>
      </w:r>
      <w:r w:rsidRPr="00331E4B">
        <w:rPr>
          <w:rFonts w:eastAsiaTheme="minorEastAsia"/>
          <w:sz w:val="22"/>
          <w:lang w:val="en-US"/>
        </w:rPr>
        <w:t>o-existence of LTE UL and NR UL within the bandwidth of an LTE component carrier</w:t>
      </w:r>
      <w:r>
        <w:rPr>
          <w:rFonts w:eastAsiaTheme="minorEastAsia" w:hint="eastAsia"/>
          <w:sz w:val="22"/>
          <w:lang w:val="en-US"/>
        </w:rPr>
        <w:t xml:space="preserve"> is within the scope. However, in our understanding, such c</w:t>
      </w:r>
      <w:r w:rsidRPr="00331E4B">
        <w:rPr>
          <w:rFonts w:eastAsiaTheme="minorEastAsia"/>
          <w:sz w:val="22"/>
          <w:lang w:val="en-US"/>
        </w:rPr>
        <w:t>o-existence of LTE UL and NR UL within the bandwidth of an LTE component carrier</w:t>
      </w:r>
      <w:r>
        <w:rPr>
          <w:rFonts w:eastAsiaTheme="minorEastAsia" w:hint="eastAsia"/>
          <w:sz w:val="22"/>
          <w:lang w:val="en-US"/>
        </w:rPr>
        <w:t xml:space="preserve"> is supported from network perspective. </w:t>
      </w:r>
      <w:r w:rsidR="00010EFE">
        <w:rPr>
          <w:rFonts w:eastAsiaTheme="minorEastAsia" w:hint="eastAsia"/>
          <w:sz w:val="22"/>
          <w:lang w:val="en-US"/>
        </w:rPr>
        <w:t>Generally, s</w:t>
      </w:r>
      <w:r>
        <w:rPr>
          <w:rFonts w:eastAsiaTheme="minorEastAsia" w:hint="eastAsia"/>
          <w:sz w:val="22"/>
          <w:lang w:val="en-US"/>
        </w:rPr>
        <w:t xml:space="preserve">upport for co-existence from the UE perspective </w:t>
      </w:r>
      <w:r>
        <w:rPr>
          <w:rFonts w:eastAsiaTheme="minorEastAsia"/>
          <w:sz w:val="22"/>
          <w:lang w:val="en-US"/>
        </w:rPr>
        <w:t xml:space="preserve">has huge impact on both LTE and NR specifications. </w:t>
      </w:r>
      <w:r>
        <w:rPr>
          <w:rFonts w:eastAsiaTheme="minorEastAsia" w:hint="eastAsia"/>
          <w:sz w:val="22"/>
          <w:lang w:val="en-US"/>
        </w:rPr>
        <w:t>For instance, m</w:t>
      </w:r>
      <w:r>
        <w:rPr>
          <w:rFonts w:eastAsiaTheme="minorEastAsia"/>
          <w:sz w:val="22"/>
          <w:lang w:val="en-US"/>
        </w:rPr>
        <w:t xml:space="preserve">ixing L1 signals belonging to different MAC entities of different RATs into single RAT uplink channel would require significant efforts on various working groups. Considering that LTE-NR dual connectivity terminal will appear from the first commercial services, </w:t>
      </w:r>
      <w:r>
        <w:rPr>
          <w:rFonts w:eastAsiaTheme="minorEastAsia" w:hint="eastAsia"/>
          <w:sz w:val="22"/>
          <w:lang w:val="en-US"/>
        </w:rPr>
        <w:t xml:space="preserve">optimization for </w:t>
      </w:r>
      <w:r w:rsidR="00A3486C">
        <w:rPr>
          <w:rFonts w:eastAsiaTheme="minorEastAsia" w:hint="eastAsia"/>
          <w:sz w:val="22"/>
          <w:lang w:val="en-US"/>
        </w:rPr>
        <w:t>multiplexing of LTE and NR signals on a single channel</w:t>
      </w:r>
      <w:r>
        <w:rPr>
          <w:rFonts w:eastAsiaTheme="minorEastAsia"/>
          <w:sz w:val="22"/>
          <w:lang w:val="en-US"/>
        </w:rPr>
        <w:t xml:space="preserve"> </w:t>
      </w:r>
      <w:r>
        <w:rPr>
          <w:rFonts w:eastAsiaTheme="minorEastAsia" w:hint="eastAsia"/>
          <w:sz w:val="22"/>
          <w:lang w:val="en-US"/>
        </w:rPr>
        <w:t>should be avoided</w:t>
      </w:r>
      <w:r>
        <w:rPr>
          <w:rFonts w:eastAsiaTheme="minorEastAsia"/>
          <w:sz w:val="22"/>
          <w:lang w:val="en-US"/>
        </w:rPr>
        <w:t>.</w:t>
      </w:r>
    </w:p>
    <w:p w14:paraId="033780BD" w14:textId="53242213" w:rsidR="00BF6498" w:rsidRDefault="00331E4B" w:rsidP="00C705DB">
      <w:pPr>
        <w:spacing w:afterLines="50" w:after="120"/>
        <w:jc w:val="both"/>
        <w:rPr>
          <w:rFonts w:eastAsiaTheme="minorEastAsia"/>
          <w:sz w:val="22"/>
          <w:lang w:val="en-US"/>
        </w:rPr>
      </w:pPr>
      <w:r>
        <w:rPr>
          <w:rFonts w:eastAsiaTheme="minorEastAsia" w:hint="eastAsia"/>
          <w:sz w:val="22"/>
          <w:lang w:val="en-US"/>
        </w:rPr>
        <w:t>The following</w:t>
      </w:r>
      <w:r w:rsidR="00BF6498">
        <w:rPr>
          <w:rFonts w:eastAsiaTheme="minorEastAsia"/>
          <w:sz w:val="22"/>
          <w:lang w:val="en-US"/>
        </w:rPr>
        <w:t xml:space="preserve"> options for UL frequency s</w:t>
      </w:r>
      <w:r w:rsidR="00DD245D">
        <w:rPr>
          <w:rFonts w:eastAsiaTheme="minorEastAsia"/>
          <w:sz w:val="22"/>
          <w:lang w:val="en-US"/>
        </w:rPr>
        <w:t>haring for collocated LTE and NR</w:t>
      </w:r>
      <w:r>
        <w:rPr>
          <w:rFonts w:eastAsiaTheme="minorEastAsia" w:hint="eastAsia"/>
          <w:sz w:val="22"/>
          <w:lang w:val="en-US"/>
        </w:rPr>
        <w:t xml:space="preserve"> can be considered.</w:t>
      </w:r>
    </w:p>
    <w:p w14:paraId="0C96A492" w14:textId="16996882" w:rsidR="00BF6498" w:rsidRDefault="00BF6498" w:rsidP="00C705DB">
      <w:pPr>
        <w:spacing w:afterLines="50" w:after="120"/>
        <w:jc w:val="both"/>
        <w:rPr>
          <w:rFonts w:eastAsiaTheme="minorEastAsia"/>
          <w:sz w:val="22"/>
          <w:lang w:val="en-US"/>
        </w:rPr>
      </w:pPr>
      <w:r>
        <w:rPr>
          <w:rFonts w:eastAsiaTheme="minorEastAsia"/>
          <w:sz w:val="22"/>
          <w:lang w:val="en-US"/>
        </w:rPr>
        <w:t xml:space="preserve">Option 1: FDM between LTE and NR </w:t>
      </w:r>
      <w:r w:rsidR="00010EFE" w:rsidRPr="00010EFE">
        <w:rPr>
          <w:rFonts w:eastAsiaTheme="minorEastAsia"/>
          <w:sz w:val="22"/>
          <w:lang w:val="en-US"/>
        </w:rPr>
        <w:t xml:space="preserve">within the bandwidth of an LTE </w:t>
      </w:r>
      <w:r w:rsidR="00010EFE">
        <w:rPr>
          <w:rFonts w:eastAsiaTheme="minorEastAsia" w:hint="eastAsia"/>
          <w:sz w:val="22"/>
          <w:lang w:val="en-US"/>
        </w:rPr>
        <w:t xml:space="preserve">UL </w:t>
      </w:r>
      <w:r w:rsidR="00010EFE" w:rsidRPr="00010EFE">
        <w:rPr>
          <w:rFonts w:eastAsiaTheme="minorEastAsia"/>
          <w:sz w:val="22"/>
          <w:lang w:val="en-US"/>
        </w:rPr>
        <w:t>component carrier</w:t>
      </w:r>
    </w:p>
    <w:p w14:paraId="7F338285" w14:textId="164B0996" w:rsidR="00BF6498" w:rsidRDefault="00BF6498" w:rsidP="00C705DB">
      <w:pPr>
        <w:spacing w:afterLines="50" w:after="120"/>
        <w:jc w:val="both"/>
        <w:rPr>
          <w:rFonts w:eastAsiaTheme="minorEastAsia"/>
          <w:sz w:val="22"/>
          <w:lang w:val="en-US"/>
        </w:rPr>
      </w:pPr>
      <w:r>
        <w:rPr>
          <w:rFonts w:eastAsiaTheme="minorEastAsia"/>
          <w:sz w:val="22"/>
          <w:lang w:val="en-US"/>
        </w:rPr>
        <w:t xml:space="preserve">Option 2: TDM between LTE and NR </w:t>
      </w:r>
      <w:r w:rsidR="00010EFE" w:rsidRPr="00010EFE">
        <w:rPr>
          <w:rFonts w:eastAsiaTheme="minorEastAsia"/>
          <w:sz w:val="22"/>
          <w:lang w:val="en-US"/>
        </w:rPr>
        <w:t xml:space="preserve">within the bandwidth of an LTE </w:t>
      </w:r>
      <w:r w:rsidR="00010EFE">
        <w:rPr>
          <w:rFonts w:eastAsiaTheme="minorEastAsia" w:hint="eastAsia"/>
          <w:sz w:val="22"/>
          <w:lang w:val="en-US"/>
        </w:rPr>
        <w:t xml:space="preserve">UL </w:t>
      </w:r>
      <w:r w:rsidR="00010EFE" w:rsidRPr="00010EFE">
        <w:rPr>
          <w:rFonts w:eastAsiaTheme="minorEastAsia"/>
          <w:sz w:val="22"/>
          <w:lang w:val="en-US"/>
        </w:rPr>
        <w:t>component carrier</w:t>
      </w:r>
    </w:p>
    <w:p w14:paraId="2BB6A52E" w14:textId="6F07C56B" w:rsidR="00350AE8" w:rsidRDefault="00E42E54" w:rsidP="00C705DB">
      <w:pPr>
        <w:spacing w:afterLines="50" w:after="120"/>
        <w:jc w:val="both"/>
        <w:rPr>
          <w:rFonts w:eastAsiaTheme="minorEastAsia"/>
          <w:sz w:val="22"/>
          <w:lang w:val="en-US"/>
        </w:rPr>
      </w:pPr>
      <w:r>
        <w:rPr>
          <w:rFonts w:eastAsiaTheme="minorEastAsia" w:hint="eastAsia"/>
          <w:sz w:val="22"/>
          <w:lang w:val="en-US"/>
        </w:rPr>
        <w:t>In o</w:t>
      </w:r>
      <w:r w:rsidR="00350AE8">
        <w:rPr>
          <w:rFonts w:eastAsiaTheme="minorEastAsia" w:hint="eastAsia"/>
          <w:sz w:val="22"/>
          <w:lang w:val="en-US"/>
        </w:rPr>
        <w:t>ption 1</w:t>
      </w:r>
      <w:r>
        <w:rPr>
          <w:rFonts w:eastAsiaTheme="minorEastAsia" w:hint="eastAsia"/>
          <w:sz w:val="22"/>
          <w:lang w:val="en-US"/>
        </w:rPr>
        <w:t>,</w:t>
      </w:r>
      <w:r w:rsidR="00350AE8">
        <w:rPr>
          <w:rFonts w:eastAsiaTheme="minorEastAsia"/>
          <w:sz w:val="22"/>
          <w:lang w:val="en-US"/>
        </w:rPr>
        <w:t xml:space="preserve"> </w:t>
      </w:r>
      <w:r>
        <w:rPr>
          <w:rFonts w:eastAsiaTheme="minorEastAsia" w:hint="eastAsia"/>
          <w:sz w:val="22"/>
          <w:lang w:val="en-US"/>
        </w:rPr>
        <w:t>a</w:t>
      </w:r>
      <w:r w:rsidR="00750165">
        <w:rPr>
          <w:rFonts w:eastAsiaTheme="minorEastAsia"/>
          <w:sz w:val="22"/>
          <w:lang w:val="en-US"/>
        </w:rPr>
        <w:t>s long as each UE transmits LTE or NR</w:t>
      </w:r>
      <w:r w:rsidR="008D76D3">
        <w:rPr>
          <w:rFonts w:eastAsiaTheme="minorEastAsia"/>
          <w:sz w:val="22"/>
          <w:lang w:val="en-US"/>
        </w:rPr>
        <w:t xml:space="preserve"> only, the mechanism can be identical to the case where </w:t>
      </w:r>
      <w:r w:rsidR="00010EFE">
        <w:rPr>
          <w:rFonts w:eastAsiaTheme="minorEastAsia" w:hint="eastAsia"/>
          <w:sz w:val="22"/>
          <w:lang w:val="en-US"/>
        </w:rPr>
        <w:t xml:space="preserve">a single frequency is </w:t>
      </w:r>
      <w:r w:rsidR="00010EFE">
        <w:rPr>
          <w:rFonts w:eastAsiaTheme="minorEastAsia"/>
          <w:sz w:val="22"/>
          <w:lang w:val="en-US"/>
        </w:rPr>
        <w:t>dedicated</w:t>
      </w:r>
      <w:r w:rsidR="00010EFE">
        <w:rPr>
          <w:rFonts w:eastAsiaTheme="minorEastAsia" w:hint="eastAsia"/>
          <w:sz w:val="22"/>
          <w:lang w:val="en-US"/>
        </w:rPr>
        <w:t xml:space="preserve"> to </w:t>
      </w:r>
      <w:r w:rsidR="008D76D3">
        <w:rPr>
          <w:rFonts w:eastAsiaTheme="minorEastAsia"/>
          <w:sz w:val="22"/>
          <w:lang w:val="en-US"/>
        </w:rPr>
        <w:t xml:space="preserve">LTE </w:t>
      </w:r>
      <w:r w:rsidR="00010EFE">
        <w:rPr>
          <w:rFonts w:eastAsiaTheme="minorEastAsia" w:hint="eastAsia"/>
          <w:sz w:val="22"/>
          <w:lang w:val="en-US"/>
        </w:rPr>
        <w:t>or</w:t>
      </w:r>
      <w:r w:rsidR="00010EFE">
        <w:rPr>
          <w:rFonts w:eastAsiaTheme="minorEastAsia"/>
          <w:sz w:val="22"/>
          <w:lang w:val="en-US"/>
        </w:rPr>
        <w:t xml:space="preserve"> </w:t>
      </w:r>
      <w:r w:rsidR="008D76D3">
        <w:rPr>
          <w:rFonts w:eastAsiaTheme="minorEastAsia"/>
          <w:sz w:val="22"/>
          <w:lang w:val="en-US"/>
        </w:rPr>
        <w:t xml:space="preserve">NR. </w:t>
      </w:r>
      <w:r w:rsidR="00010EFE">
        <w:rPr>
          <w:rFonts w:eastAsiaTheme="minorEastAsia" w:hint="eastAsia"/>
          <w:sz w:val="22"/>
          <w:lang w:val="en-US"/>
        </w:rPr>
        <w:t>From network perspective, if UL resources are well partitioned between NR UE and LTE UE, c</w:t>
      </w:r>
      <w:r w:rsidR="00010EFE" w:rsidRPr="00331E4B">
        <w:rPr>
          <w:rFonts w:eastAsiaTheme="minorEastAsia"/>
          <w:sz w:val="22"/>
          <w:lang w:val="en-US"/>
        </w:rPr>
        <w:t xml:space="preserve">o-existence of LTE UL and NR UL </w:t>
      </w:r>
      <w:r>
        <w:rPr>
          <w:rFonts w:eastAsiaTheme="minorEastAsia" w:hint="eastAsia"/>
          <w:sz w:val="22"/>
          <w:lang w:val="en-US"/>
        </w:rPr>
        <w:t>would not be challenging</w:t>
      </w:r>
      <w:r w:rsidR="00010EFE">
        <w:rPr>
          <w:rFonts w:eastAsiaTheme="minorEastAsia" w:hint="eastAsia"/>
          <w:sz w:val="22"/>
          <w:lang w:val="en-US"/>
        </w:rPr>
        <w:t xml:space="preserve"> </w:t>
      </w:r>
      <w:r w:rsidR="00010EFE" w:rsidRPr="00331E4B">
        <w:rPr>
          <w:rFonts w:eastAsiaTheme="minorEastAsia"/>
          <w:sz w:val="22"/>
          <w:lang w:val="en-US"/>
        </w:rPr>
        <w:t>within the bandwidth of an LTE component carrier</w:t>
      </w:r>
      <w:r w:rsidR="00010EFE">
        <w:rPr>
          <w:rFonts w:eastAsiaTheme="minorEastAsia" w:hint="eastAsia"/>
          <w:sz w:val="22"/>
          <w:lang w:val="en-US"/>
        </w:rPr>
        <w:t xml:space="preserve">. We note that there may be an issue on half-subcarrier shifting and we </w:t>
      </w:r>
      <w:r w:rsidR="00010EFE">
        <w:rPr>
          <w:rFonts w:eastAsiaTheme="minorEastAsia" w:hint="eastAsia"/>
          <w:sz w:val="22"/>
          <w:lang w:val="en-US"/>
        </w:rPr>
        <w:lastRenderedPageBreak/>
        <w:t xml:space="preserve">will discuss it later. On the other hand, as described </w:t>
      </w:r>
      <w:r w:rsidR="00010EFE">
        <w:rPr>
          <w:rFonts w:eastAsiaTheme="minorEastAsia"/>
          <w:sz w:val="22"/>
          <w:lang w:val="en-US"/>
        </w:rPr>
        <w:t>above</w:t>
      </w:r>
      <w:r w:rsidR="00010EFE">
        <w:rPr>
          <w:rFonts w:eastAsiaTheme="minorEastAsia" w:hint="eastAsia"/>
          <w:sz w:val="22"/>
          <w:lang w:val="en-US"/>
        </w:rPr>
        <w:t>, f</w:t>
      </w:r>
      <w:r w:rsidR="008D76D3">
        <w:rPr>
          <w:rFonts w:eastAsiaTheme="minorEastAsia"/>
          <w:sz w:val="22"/>
          <w:lang w:val="en-US"/>
        </w:rPr>
        <w:t>or a given UE, if LTE-NR simultaneous uplink transmission is required, t</w:t>
      </w:r>
      <w:r w:rsidR="00CA63D5">
        <w:rPr>
          <w:rFonts w:eastAsiaTheme="minorEastAsia"/>
          <w:sz w:val="22"/>
          <w:lang w:val="en-US"/>
        </w:rPr>
        <w:t>he impact on both specification</w:t>
      </w:r>
      <w:r w:rsidR="008D76D3">
        <w:rPr>
          <w:rFonts w:eastAsiaTheme="minorEastAsia"/>
          <w:sz w:val="22"/>
          <w:lang w:val="en-US"/>
        </w:rPr>
        <w:t xml:space="preserve"> and implementation would be significant. </w:t>
      </w:r>
      <w:r w:rsidR="00010EFE">
        <w:rPr>
          <w:rFonts w:eastAsiaTheme="minorEastAsia" w:hint="eastAsia"/>
          <w:sz w:val="22"/>
          <w:lang w:val="en-US"/>
        </w:rPr>
        <w:t>More specifically</w:t>
      </w:r>
      <w:r w:rsidR="008D76D3">
        <w:rPr>
          <w:rFonts w:eastAsiaTheme="minorEastAsia"/>
          <w:sz w:val="22"/>
          <w:lang w:val="en-US"/>
        </w:rPr>
        <w:t>, LTE-NR simultaneous uplink transmission within a given frequency range would significantly impact on RAN4 specifications and UE implementations</w:t>
      </w:r>
      <w:r w:rsidR="00010EFE">
        <w:rPr>
          <w:rFonts w:eastAsiaTheme="minorEastAsia" w:hint="eastAsia"/>
          <w:sz w:val="22"/>
          <w:lang w:val="en-US"/>
        </w:rPr>
        <w:t xml:space="preserve">, which should be </w:t>
      </w:r>
      <w:r w:rsidR="00010EFE">
        <w:rPr>
          <w:rFonts w:eastAsiaTheme="minorEastAsia"/>
          <w:sz w:val="22"/>
          <w:lang w:val="en-US"/>
        </w:rPr>
        <w:t>avoided</w:t>
      </w:r>
      <w:r w:rsidR="00010EFE">
        <w:rPr>
          <w:rFonts w:eastAsiaTheme="minorEastAsia" w:hint="eastAsia"/>
          <w:sz w:val="22"/>
          <w:lang w:val="en-US"/>
        </w:rPr>
        <w:t xml:space="preserve"> in Rel-15</w:t>
      </w:r>
      <w:r w:rsidR="008D76D3">
        <w:rPr>
          <w:rFonts w:eastAsiaTheme="minorEastAsia"/>
          <w:sz w:val="22"/>
          <w:lang w:val="en-US"/>
        </w:rPr>
        <w:t xml:space="preserve">. </w:t>
      </w:r>
    </w:p>
    <w:p w14:paraId="3B5E7E7D" w14:textId="198AD634" w:rsidR="00BF6498" w:rsidRPr="00E719C7" w:rsidRDefault="00350AE8" w:rsidP="00C705DB">
      <w:pPr>
        <w:spacing w:afterLines="50" w:after="120"/>
        <w:jc w:val="both"/>
        <w:rPr>
          <w:rFonts w:eastAsiaTheme="minorEastAsia"/>
          <w:sz w:val="22"/>
          <w:lang w:val="en-US"/>
        </w:rPr>
      </w:pPr>
      <w:r>
        <w:rPr>
          <w:rFonts w:eastAsiaTheme="minorEastAsia"/>
          <w:sz w:val="22"/>
          <w:lang w:val="en-US"/>
        </w:rPr>
        <w:t xml:space="preserve">Option 2 </w:t>
      </w:r>
      <w:r w:rsidR="00E719C7">
        <w:rPr>
          <w:rFonts w:eastAsiaTheme="minorEastAsia"/>
          <w:sz w:val="22"/>
          <w:lang w:val="en-US"/>
        </w:rPr>
        <w:t xml:space="preserve">would not be much difficult at least from </w:t>
      </w:r>
      <w:r w:rsidR="00CE6F8C">
        <w:rPr>
          <w:rFonts w:eastAsiaTheme="minorEastAsia"/>
          <w:sz w:val="22"/>
          <w:lang w:val="en-US"/>
        </w:rPr>
        <w:t>RAN1 specification point of view.</w:t>
      </w:r>
      <w:r w:rsidR="00A03658">
        <w:rPr>
          <w:rFonts w:eastAsiaTheme="minorEastAsia"/>
          <w:sz w:val="22"/>
          <w:lang w:val="en-US"/>
        </w:rPr>
        <w:t xml:space="preserve"> </w:t>
      </w:r>
      <w:r w:rsidR="00E719C7">
        <w:rPr>
          <w:rFonts w:eastAsiaTheme="minorEastAsia"/>
          <w:sz w:val="22"/>
          <w:lang w:val="en-US"/>
        </w:rPr>
        <w:t>NR will support flexible scheduling/HARQ-feedback timings as was agreed in RAN1 AH meeting. Therefore, even if the co-existing carrier is LTE-TDD, NR will be able to align UL-DL direction with the LTE carrier.</w:t>
      </w:r>
      <w:r w:rsidR="00081DA8">
        <w:rPr>
          <w:rFonts w:eastAsiaTheme="minorEastAsia"/>
          <w:sz w:val="22"/>
          <w:lang w:val="en-US"/>
        </w:rPr>
        <w:t xml:space="preserve"> However depending on how much uplink resources are taken by NR transmissions, available DL/UL throughput of LTE is reduced since scheduling/HARQ-feedback timings of LTE are fixed.</w:t>
      </w:r>
    </w:p>
    <w:p w14:paraId="2F97F102" w14:textId="026FC3CD" w:rsidR="00A03658" w:rsidRPr="00E42E54" w:rsidRDefault="00A03658" w:rsidP="00E42E54">
      <w:pPr>
        <w:spacing w:afterLines="50" w:after="120"/>
        <w:jc w:val="both"/>
        <w:rPr>
          <w:rFonts w:eastAsia="ＭＳ 明朝"/>
          <w:b/>
          <w:sz w:val="22"/>
          <w:lang w:val="en-US"/>
        </w:rPr>
      </w:pPr>
      <w:r w:rsidRPr="00E42E54">
        <w:rPr>
          <w:rFonts w:eastAsia="ＭＳ 明朝"/>
          <w:b/>
          <w:sz w:val="22"/>
          <w:lang w:val="en-US"/>
        </w:rPr>
        <w:t>Proposal 1:</w:t>
      </w:r>
      <w:r w:rsidR="00010EFE" w:rsidRPr="00E42E54">
        <w:rPr>
          <w:rFonts w:eastAsia="ＭＳ 明朝"/>
          <w:b/>
          <w:sz w:val="22"/>
          <w:lang w:val="en-US"/>
        </w:rPr>
        <w:t xml:space="preserve"> </w:t>
      </w:r>
      <w:r w:rsidRPr="00E42E54">
        <w:rPr>
          <w:rFonts w:eastAsia="ＭＳ 明朝"/>
          <w:b/>
          <w:sz w:val="22"/>
          <w:lang w:val="en-US"/>
        </w:rPr>
        <w:t>LTE and NR uplink signals/channels are not mixed into one channel/signal.</w:t>
      </w:r>
    </w:p>
    <w:p w14:paraId="4DCD7D2E" w14:textId="55FD3530" w:rsidR="00010EFE" w:rsidRPr="00E42E54" w:rsidRDefault="00010EFE" w:rsidP="00010EFE">
      <w:pPr>
        <w:spacing w:afterLines="50" w:after="120"/>
        <w:jc w:val="both"/>
        <w:rPr>
          <w:rFonts w:eastAsia="ＭＳ 明朝"/>
          <w:b/>
          <w:sz w:val="22"/>
          <w:lang w:val="en-US"/>
        </w:rPr>
      </w:pPr>
      <w:r w:rsidRPr="00E42E54">
        <w:rPr>
          <w:rFonts w:eastAsia="ＭＳ 明朝"/>
          <w:b/>
          <w:sz w:val="22"/>
          <w:lang w:val="en-US"/>
        </w:rPr>
        <w:t xml:space="preserve">Proposal 2: </w:t>
      </w:r>
      <w:r>
        <w:rPr>
          <w:rFonts w:eastAsia="ＭＳ 明朝" w:hint="eastAsia"/>
          <w:b/>
          <w:sz w:val="22"/>
          <w:lang w:val="en-US"/>
        </w:rPr>
        <w:t>C</w:t>
      </w:r>
      <w:r w:rsidRPr="00010EFE">
        <w:rPr>
          <w:rFonts w:eastAsia="ＭＳ 明朝"/>
          <w:b/>
          <w:sz w:val="22"/>
          <w:lang w:val="en-US"/>
        </w:rPr>
        <w:t>o-existence of LTE UL and NR UL within the bandwidth of an LTE component carrier</w:t>
      </w:r>
      <w:r>
        <w:rPr>
          <w:rFonts w:eastAsia="ＭＳ 明朝" w:hint="eastAsia"/>
          <w:b/>
          <w:sz w:val="22"/>
          <w:lang w:val="en-US"/>
        </w:rPr>
        <w:t xml:space="preserve"> is enabled from network perspective. C</w:t>
      </w:r>
      <w:r w:rsidRPr="00010EFE">
        <w:rPr>
          <w:rFonts w:eastAsia="ＭＳ 明朝"/>
          <w:b/>
          <w:sz w:val="22"/>
          <w:lang w:val="en-US"/>
        </w:rPr>
        <w:t>o-existence of LTE UL and NR UL within the bandwidth of an LTE component carrier</w:t>
      </w:r>
      <w:r>
        <w:rPr>
          <w:rFonts w:eastAsia="ＭＳ 明朝" w:hint="eastAsia"/>
          <w:b/>
          <w:sz w:val="22"/>
          <w:lang w:val="en-US"/>
        </w:rPr>
        <w:t xml:space="preserve"> from UE perspective is not considered in Rel-15.</w:t>
      </w:r>
    </w:p>
    <w:p w14:paraId="452FE2C7" w14:textId="77777777" w:rsidR="00A3486C" w:rsidRDefault="00A3486C" w:rsidP="00A3486C">
      <w:pPr>
        <w:spacing w:afterLines="50" w:after="120"/>
        <w:jc w:val="both"/>
        <w:rPr>
          <w:rFonts w:eastAsiaTheme="minorEastAsia"/>
          <w:sz w:val="22"/>
          <w:lang w:val="en-US"/>
        </w:rPr>
      </w:pPr>
    </w:p>
    <w:p w14:paraId="02348858" w14:textId="3CDD8626" w:rsidR="00A3486C" w:rsidRPr="00A3486C" w:rsidRDefault="00A3486C" w:rsidP="00A3486C">
      <w:pPr>
        <w:spacing w:afterLines="50" w:after="120"/>
        <w:jc w:val="both"/>
        <w:rPr>
          <w:rFonts w:eastAsiaTheme="minorEastAsia"/>
          <w:sz w:val="22"/>
          <w:lang w:val="en-US"/>
        </w:rPr>
      </w:pPr>
      <w:r>
        <w:rPr>
          <w:rFonts w:eastAsiaTheme="minorEastAsia" w:hint="eastAsia"/>
          <w:sz w:val="22"/>
          <w:lang w:val="en-US"/>
        </w:rPr>
        <w:t>For the NR-LTE co-existence in UL, a</w:t>
      </w:r>
      <w:r w:rsidR="00331E4B">
        <w:rPr>
          <w:rFonts w:eastAsiaTheme="minorEastAsia" w:hint="eastAsia"/>
          <w:sz w:val="22"/>
          <w:lang w:val="en-US"/>
        </w:rPr>
        <w:t xml:space="preserve">t the last RAN1 meeting, </w:t>
      </w:r>
      <w:r>
        <w:rPr>
          <w:rFonts w:eastAsiaTheme="minorEastAsia" w:hint="eastAsia"/>
          <w:sz w:val="22"/>
          <w:lang w:val="en-US"/>
        </w:rPr>
        <w:t>i</w:t>
      </w:r>
      <w:r w:rsidRPr="00A3486C">
        <w:rPr>
          <w:rFonts w:eastAsiaTheme="minorEastAsia"/>
          <w:sz w:val="22"/>
          <w:lang w:val="en-US"/>
        </w:rPr>
        <w:t xml:space="preserve">n </w:t>
      </w:r>
      <w:r>
        <w:rPr>
          <w:rFonts w:eastAsiaTheme="minorEastAsia" w:hint="eastAsia"/>
          <w:sz w:val="22"/>
          <w:lang w:val="en-US"/>
        </w:rPr>
        <w:t>[2]</w:t>
      </w:r>
      <w:r w:rsidRPr="00A3486C">
        <w:rPr>
          <w:rFonts w:eastAsiaTheme="minorEastAsia"/>
          <w:sz w:val="22"/>
          <w:lang w:val="en-US"/>
        </w:rPr>
        <w:t>, the following alternatives were discussed</w:t>
      </w:r>
    </w:p>
    <w:p w14:paraId="4962091E" w14:textId="77777777" w:rsidR="00A3486C" w:rsidRPr="00A3486C" w:rsidRDefault="00A3486C" w:rsidP="00A3486C">
      <w:pPr>
        <w:pStyle w:val="afc"/>
        <w:numPr>
          <w:ilvl w:val="0"/>
          <w:numId w:val="12"/>
        </w:numPr>
        <w:spacing w:afterLines="50" w:after="120"/>
        <w:ind w:firstLineChars="0"/>
        <w:jc w:val="both"/>
        <w:rPr>
          <w:rFonts w:eastAsiaTheme="minorEastAsia"/>
          <w:sz w:val="22"/>
          <w:lang w:val="en-US"/>
        </w:rPr>
      </w:pPr>
      <w:r w:rsidRPr="00A3486C">
        <w:rPr>
          <w:rFonts w:eastAsiaTheme="minorEastAsia"/>
          <w:sz w:val="22"/>
          <w:lang w:val="en-US"/>
        </w:rPr>
        <w:t>Alt 1: Do nothing to allow subcarrier alignment between NR UL (15 kHz) and LTE UL</w:t>
      </w:r>
    </w:p>
    <w:p w14:paraId="5104B1E4" w14:textId="77777777" w:rsidR="00A3486C" w:rsidRPr="00A3486C" w:rsidRDefault="00A3486C" w:rsidP="00A3486C">
      <w:pPr>
        <w:pStyle w:val="afc"/>
        <w:numPr>
          <w:ilvl w:val="0"/>
          <w:numId w:val="12"/>
        </w:numPr>
        <w:spacing w:afterLines="50" w:after="120"/>
        <w:ind w:firstLineChars="0"/>
        <w:jc w:val="both"/>
        <w:rPr>
          <w:rFonts w:eastAsiaTheme="minorEastAsia"/>
          <w:sz w:val="22"/>
          <w:lang w:val="en-US"/>
        </w:rPr>
      </w:pPr>
      <w:r w:rsidRPr="00A3486C">
        <w:rPr>
          <w:rFonts w:eastAsiaTheme="minorEastAsia"/>
          <w:sz w:val="22"/>
          <w:lang w:val="en-US"/>
        </w:rPr>
        <w:t>Allow subcarrier alignment between NR UL (15 kHz) and LTE UL</w:t>
      </w:r>
    </w:p>
    <w:p w14:paraId="3C296A8B" w14:textId="77777777" w:rsidR="00A3486C" w:rsidRPr="00A3486C" w:rsidRDefault="00A3486C" w:rsidP="00A3486C">
      <w:pPr>
        <w:pStyle w:val="afc"/>
        <w:numPr>
          <w:ilvl w:val="1"/>
          <w:numId w:val="12"/>
        </w:numPr>
        <w:spacing w:afterLines="50" w:after="120"/>
        <w:ind w:firstLineChars="0"/>
        <w:jc w:val="both"/>
        <w:rPr>
          <w:rFonts w:eastAsiaTheme="minorEastAsia"/>
          <w:sz w:val="22"/>
          <w:lang w:val="en-US"/>
        </w:rPr>
      </w:pPr>
      <w:r w:rsidRPr="00A3486C">
        <w:rPr>
          <w:rFonts w:eastAsiaTheme="minorEastAsia"/>
          <w:sz w:val="22"/>
          <w:lang w:val="en-US"/>
        </w:rPr>
        <w:t>Alt 2: 7.5 kHz shift at baseband</w:t>
      </w:r>
    </w:p>
    <w:p w14:paraId="1E31D342" w14:textId="1BE933DC" w:rsidR="00A3486C" w:rsidRPr="00A3486C" w:rsidRDefault="00A3486C" w:rsidP="00A3486C">
      <w:pPr>
        <w:pStyle w:val="afc"/>
        <w:numPr>
          <w:ilvl w:val="1"/>
          <w:numId w:val="12"/>
        </w:numPr>
        <w:spacing w:afterLines="50" w:after="120"/>
        <w:ind w:firstLineChars="0"/>
        <w:jc w:val="both"/>
        <w:rPr>
          <w:rFonts w:eastAsiaTheme="minorEastAsia"/>
          <w:sz w:val="22"/>
          <w:lang w:val="en-US"/>
        </w:rPr>
      </w:pPr>
      <w:r w:rsidRPr="00A3486C">
        <w:rPr>
          <w:rFonts w:eastAsiaTheme="minorEastAsia"/>
          <w:sz w:val="22"/>
          <w:lang w:val="en-US"/>
        </w:rPr>
        <w:t>Alt 3: NR UL raster with a 7.5 kHz shift to the LTE UL raster</w:t>
      </w:r>
    </w:p>
    <w:p w14:paraId="5B81FE93" w14:textId="0188D938" w:rsidR="00A3486C" w:rsidRDefault="00891E9E" w:rsidP="00A3486C">
      <w:pPr>
        <w:tabs>
          <w:tab w:val="num" w:pos="1440"/>
        </w:tabs>
        <w:spacing w:afterLines="50" w:after="120"/>
        <w:jc w:val="both"/>
        <w:rPr>
          <w:rFonts w:eastAsiaTheme="minorEastAsia"/>
          <w:sz w:val="22"/>
          <w:lang w:val="en-US"/>
        </w:rPr>
      </w:pPr>
      <w:r w:rsidRPr="00A3486C">
        <w:rPr>
          <w:rFonts w:eastAsiaTheme="minorEastAsia"/>
          <w:sz w:val="22"/>
          <w:lang w:val="en-US"/>
        </w:rPr>
        <w:t>Considering the current targeting scenario</w:t>
      </w:r>
      <w:r w:rsidR="00A3486C">
        <w:rPr>
          <w:rFonts w:eastAsiaTheme="minorEastAsia" w:hint="eastAsia"/>
          <w:sz w:val="22"/>
          <w:lang w:val="en-US"/>
        </w:rPr>
        <w:t xml:space="preserve"> discussed in RAN1 and RAN4</w:t>
      </w:r>
      <w:r w:rsidRPr="00A3486C">
        <w:rPr>
          <w:rFonts w:eastAsiaTheme="minorEastAsia"/>
          <w:sz w:val="22"/>
          <w:lang w:val="en-US"/>
        </w:rPr>
        <w:t xml:space="preserve">, </w:t>
      </w:r>
      <w:r w:rsidR="00A3486C">
        <w:rPr>
          <w:rFonts w:eastAsiaTheme="minorEastAsia" w:hint="eastAsia"/>
          <w:sz w:val="22"/>
          <w:lang w:val="en-US"/>
        </w:rPr>
        <w:t>FDD bands are mainly targeted. A</w:t>
      </w:r>
      <w:r w:rsidRPr="00A3486C">
        <w:rPr>
          <w:rFonts w:eastAsiaTheme="minorEastAsia"/>
          <w:sz w:val="22"/>
          <w:lang w:val="en-US"/>
        </w:rPr>
        <w:t>t least for TDD band, Alt. 1 (Do nothing) is preferred in order to keep subcarrier alignment between NR DL and NR UL (considerin</w:t>
      </w:r>
      <w:r w:rsidR="00A3486C">
        <w:rPr>
          <w:rFonts w:eastAsiaTheme="minorEastAsia"/>
          <w:sz w:val="22"/>
          <w:lang w:val="en-US"/>
        </w:rPr>
        <w:t>g the potential of dynamic TDD)</w:t>
      </w:r>
      <w:r w:rsidR="00A3486C">
        <w:rPr>
          <w:rFonts w:eastAsiaTheme="minorEastAsia" w:hint="eastAsia"/>
          <w:sz w:val="22"/>
          <w:lang w:val="en-US"/>
        </w:rPr>
        <w:t xml:space="preserve">. </w:t>
      </w:r>
      <w:r w:rsidRPr="00A3486C">
        <w:rPr>
          <w:rFonts w:eastAsiaTheme="minorEastAsia"/>
          <w:sz w:val="22"/>
          <w:lang w:val="en-US"/>
        </w:rPr>
        <w:t>For FDD band, impac</w:t>
      </w:r>
      <w:r w:rsidR="008073A0">
        <w:rPr>
          <w:rFonts w:eastAsiaTheme="minorEastAsia"/>
          <w:sz w:val="22"/>
          <w:lang w:val="en-US"/>
        </w:rPr>
        <w:t xml:space="preserve">t of Alt. 1, </w:t>
      </w:r>
      <w:r w:rsidR="008073A0">
        <w:rPr>
          <w:rFonts w:eastAsiaTheme="minorEastAsia" w:hint="eastAsia"/>
          <w:sz w:val="22"/>
          <w:lang w:val="en-US"/>
        </w:rPr>
        <w:t xml:space="preserve">i.e., </w:t>
      </w:r>
      <w:r w:rsidRPr="00A3486C">
        <w:rPr>
          <w:rFonts w:eastAsiaTheme="minorEastAsia"/>
          <w:sz w:val="22"/>
          <w:lang w:val="en-US"/>
        </w:rPr>
        <w:t>subcarrier boundary is</w:t>
      </w:r>
      <w:r w:rsidR="008073A0">
        <w:rPr>
          <w:rFonts w:eastAsiaTheme="minorEastAsia"/>
          <w:sz w:val="22"/>
          <w:lang w:val="en-US"/>
        </w:rPr>
        <w:t xml:space="preserve"> not aligned between LTE and NR</w:t>
      </w:r>
      <w:r w:rsidRPr="00A3486C">
        <w:rPr>
          <w:rFonts w:eastAsiaTheme="minorEastAsia"/>
          <w:sz w:val="22"/>
          <w:lang w:val="en-US"/>
        </w:rPr>
        <w:t>, should be considered.</w:t>
      </w:r>
      <w:r w:rsidR="00A3486C">
        <w:rPr>
          <w:rFonts w:eastAsiaTheme="minorEastAsia" w:hint="eastAsia"/>
          <w:sz w:val="22"/>
          <w:lang w:val="en-US"/>
        </w:rPr>
        <w:t xml:space="preserve"> The first issue will be </w:t>
      </w:r>
      <w:r w:rsidR="00A3486C">
        <w:rPr>
          <w:rFonts w:eastAsiaTheme="minorEastAsia"/>
          <w:sz w:val="22"/>
          <w:lang w:val="en-US"/>
        </w:rPr>
        <w:t>performance degradation</w:t>
      </w:r>
      <w:r w:rsidR="00A3486C">
        <w:rPr>
          <w:rFonts w:eastAsiaTheme="minorEastAsia" w:hint="eastAsia"/>
          <w:sz w:val="22"/>
          <w:lang w:val="en-US"/>
        </w:rPr>
        <w:t xml:space="preserve">. To avoid such degradation, </w:t>
      </w:r>
      <w:r w:rsidRPr="00A3486C">
        <w:rPr>
          <w:rFonts w:eastAsiaTheme="minorEastAsia"/>
          <w:sz w:val="22"/>
          <w:lang w:val="en-US"/>
        </w:rPr>
        <w:t>GB will be needed between LTE and NR</w:t>
      </w:r>
      <w:r w:rsidR="00A3486C">
        <w:rPr>
          <w:rFonts w:eastAsiaTheme="minorEastAsia" w:hint="eastAsia"/>
          <w:sz w:val="22"/>
          <w:lang w:val="en-US"/>
        </w:rPr>
        <w:t xml:space="preserve"> UL transmissions. NR uplink and LTE uplink would still coexist with a small amount of guard-band of several subcarriers, which will be </w:t>
      </w:r>
      <w:r w:rsidR="00A3486C">
        <w:rPr>
          <w:rFonts w:eastAsiaTheme="minorEastAsia"/>
          <w:sz w:val="22"/>
          <w:lang w:val="en-US"/>
        </w:rPr>
        <w:t>studied</w:t>
      </w:r>
      <w:r w:rsidR="00A3486C">
        <w:rPr>
          <w:rFonts w:eastAsiaTheme="minorEastAsia" w:hint="eastAsia"/>
          <w:sz w:val="22"/>
          <w:lang w:val="en-US"/>
        </w:rPr>
        <w:t xml:space="preserve"> throughout email discussion. Another potential issue would be that single FFT can</w:t>
      </w:r>
      <w:r w:rsidR="00A3486C">
        <w:rPr>
          <w:rFonts w:eastAsiaTheme="minorEastAsia"/>
          <w:sz w:val="22"/>
          <w:lang w:val="en-US"/>
        </w:rPr>
        <w:t>’</w:t>
      </w:r>
      <w:r w:rsidR="00A3486C">
        <w:rPr>
          <w:rFonts w:eastAsiaTheme="minorEastAsia" w:hint="eastAsia"/>
          <w:sz w:val="22"/>
          <w:lang w:val="en-US"/>
        </w:rPr>
        <w:t xml:space="preserve">t be used to demodulate both LTE and NR UL signals simultaneously. However, this is dependent on </w:t>
      </w:r>
      <w:proofErr w:type="spellStart"/>
      <w:r w:rsidR="00A3486C">
        <w:rPr>
          <w:rFonts w:eastAsiaTheme="minorEastAsia" w:hint="eastAsia"/>
          <w:sz w:val="22"/>
          <w:lang w:val="en-US"/>
        </w:rPr>
        <w:t>gNB</w:t>
      </w:r>
      <w:proofErr w:type="spellEnd"/>
      <w:r w:rsidR="00A3486C">
        <w:rPr>
          <w:rFonts w:eastAsiaTheme="minorEastAsia" w:hint="eastAsia"/>
          <w:sz w:val="22"/>
          <w:lang w:val="en-US"/>
        </w:rPr>
        <w:t xml:space="preserve"> implementation and in any case some implementation updates will be needed to newly support NR functionalities. </w:t>
      </w:r>
    </w:p>
    <w:p w14:paraId="648EDBD6" w14:textId="0301E017" w:rsidR="00010EFE" w:rsidRPr="006455AF" w:rsidRDefault="00010EFE" w:rsidP="00010EFE">
      <w:pPr>
        <w:spacing w:afterLines="50" w:after="120"/>
        <w:jc w:val="both"/>
        <w:rPr>
          <w:rFonts w:eastAsia="ＭＳ 明朝"/>
          <w:b/>
          <w:sz w:val="22"/>
          <w:lang w:val="en-US"/>
        </w:rPr>
      </w:pPr>
      <w:r w:rsidRPr="006455AF">
        <w:rPr>
          <w:rFonts w:eastAsia="ＭＳ 明朝"/>
          <w:b/>
          <w:sz w:val="22"/>
          <w:lang w:val="en-US"/>
        </w:rPr>
        <w:t xml:space="preserve">Proposal </w:t>
      </w:r>
      <w:r>
        <w:rPr>
          <w:rFonts w:eastAsia="ＭＳ 明朝" w:hint="eastAsia"/>
          <w:b/>
          <w:sz w:val="22"/>
          <w:lang w:val="en-US"/>
        </w:rPr>
        <w:t>3</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Advantages and disadvantages of </w:t>
      </w:r>
      <w:r w:rsidR="00A3486C">
        <w:rPr>
          <w:rFonts w:eastAsia="ＭＳ 明朝" w:hint="eastAsia"/>
          <w:b/>
          <w:sz w:val="22"/>
          <w:lang w:val="en-US"/>
        </w:rPr>
        <w:t xml:space="preserve">not aligning </w:t>
      </w:r>
      <w:r>
        <w:rPr>
          <w:rFonts w:eastAsia="ＭＳ 明朝" w:hint="eastAsia"/>
          <w:b/>
          <w:sz w:val="22"/>
          <w:lang w:val="en-US"/>
        </w:rPr>
        <w:t xml:space="preserve">subcarrier </w:t>
      </w:r>
      <w:proofErr w:type="spellStart"/>
      <w:r w:rsidR="00A3486C">
        <w:rPr>
          <w:rFonts w:eastAsia="ＭＳ 明朝" w:hint="eastAsia"/>
          <w:b/>
          <w:sz w:val="22"/>
          <w:lang w:val="en-US"/>
        </w:rPr>
        <w:t>spacings</w:t>
      </w:r>
      <w:proofErr w:type="spellEnd"/>
      <w:r w:rsidR="00A3486C">
        <w:rPr>
          <w:rFonts w:eastAsia="ＭＳ 明朝" w:hint="eastAsia"/>
          <w:b/>
          <w:sz w:val="22"/>
          <w:lang w:val="en-US"/>
        </w:rPr>
        <w:t xml:space="preserve"> between LTE uplink and</w:t>
      </w:r>
      <w:r>
        <w:rPr>
          <w:rFonts w:eastAsia="ＭＳ 明朝" w:hint="eastAsia"/>
          <w:b/>
          <w:sz w:val="22"/>
          <w:lang w:val="en-US"/>
        </w:rPr>
        <w:t xml:space="preserve"> NR uplink should be carefully </w:t>
      </w:r>
      <w:r w:rsidR="00A3486C">
        <w:rPr>
          <w:rFonts w:eastAsia="ＭＳ 明朝" w:hint="eastAsia"/>
          <w:b/>
          <w:sz w:val="22"/>
          <w:lang w:val="en-US"/>
        </w:rPr>
        <w:t>investigated.</w:t>
      </w:r>
    </w:p>
    <w:p w14:paraId="5FC70299" w14:textId="44291448" w:rsidR="00010EFE" w:rsidRDefault="00A3486C" w:rsidP="00CC0644">
      <w:pPr>
        <w:spacing w:afterLines="50" w:after="120"/>
        <w:jc w:val="both"/>
        <w:rPr>
          <w:rFonts w:eastAsiaTheme="minorEastAsia"/>
          <w:sz w:val="22"/>
          <w:lang w:val="en-US"/>
        </w:rPr>
      </w:pPr>
      <w:r>
        <w:rPr>
          <w:rFonts w:eastAsiaTheme="minorEastAsia" w:hint="eastAsia"/>
          <w:sz w:val="22"/>
          <w:lang w:val="en-US"/>
        </w:rPr>
        <w:t>If the significant issue has been identified in Alt. 1, subcarrier alignment between NR uplink and LTE uplink, i.e., Alt. 2 and 3</w:t>
      </w:r>
      <w:r w:rsidR="008073A0">
        <w:rPr>
          <w:rFonts w:eastAsiaTheme="minorEastAsia" w:hint="eastAsia"/>
          <w:sz w:val="22"/>
          <w:lang w:val="en-US"/>
        </w:rPr>
        <w:t>,</w:t>
      </w:r>
      <w:r>
        <w:rPr>
          <w:rFonts w:eastAsiaTheme="minorEastAsia" w:hint="eastAsia"/>
          <w:sz w:val="22"/>
          <w:lang w:val="en-US"/>
        </w:rPr>
        <w:t xml:space="preserve"> can be </w:t>
      </w:r>
      <w:r>
        <w:rPr>
          <w:rFonts w:eastAsiaTheme="minorEastAsia"/>
          <w:sz w:val="22"/>
          <w:lang w:val="en-US"/>
        </w:rPr>
        <w:t>considered</w:t>
      </w:r>
      <w:r>
        <w:rPr>
          <w:rFonts w:eastAsiaTheme="minorEastAsia" w:hint="eastAsia"/>
          <w:sz w:val="22"/>
          <w:lang w:val="en-US"/>
        </w:rPr>
        <w:t xml:space="preserve">. </w:t>
      </w:r>
      <w:r>
        <w:rPr>
          <w:rFonts w:eastAsiaTheme="minorEastAsia"/>
          <w:sz w:val="22"/>
          <w:lang w:val="en-US"/>
        </w:rPr>
        <w:t>T</w:t>
      </w:r>
      <w:r>
        <w:rPr>
          <w:rFonts w:eastAsiaTheme="minorEastAsia" w:hint="eastAsia"/>
          <w:sz w:val="22"/>
          <w:lang w:val="en-US"/>
        </w:rPr>
        <w:t xml:space="preserve">he main difference between Alt. 2 and 3 is where to consider half subcarrier shifting or which specification to </w:t>
      </w:r>
      <w:r w:rsidR="008073A0">
        <w:rPr>
          <w:rFonts w:eastAsiaTheme="minorEastAsia" w:hint="eastAsia"/>
          <w:sz w:val="22"/>
          <w:lang w:val="en-US"/>
        </w:rPr>
        <w:t>take care of</w:t>
      </w:r>
      <w:r>
        <w:rPr>
          <w:rFonts w:eastAsiaTheme="minorEastAsia" w:hint="eastAsia"/>
          <w:sz w:val="22"/>
          <w:lang w:val="en-US"/>
        </w:rPr>
        <w:t xml:space="preserve"> it,</w:t>
      </w:r>
      <w:r w:rsidR="00CA63D5">
        <w:rPr>
          <w:rFonts w:eastAsiaTheme="minorEastAsia" w:hint="eastAsia"/>
          <w:sz w:val="22"/>
          <w:lang w:val="en-US"/>
        </w:rPr>
        <w:t xml:space="preserve"> in</w:t>
      </w:r>
      <w:r>
        <w:rPr>
          <w:rFonts w:eastAsiaTheme="minorEastAsia" w:hint="eastAsia"/>
          <w:sz w:val="22"/>
          <w:lang w:val="en-US"/>
        </w:rPr>
        <w:t xml:space="preserve"> RAN1</w:t>
      </w:r>
      <w:r w:rsidR="00CA63D5">
        <w:rPr>
          <w:rFonts w:eastAsiaTheme="minorEastAsia" w:hint="eastAsia"/>
          <w:sz w:val="22"/>
          <w:lang w:val="en-US"/>
        </w:rPr>
        <w:t xml:space="preserve"> spec.</w:t>
      </w:r>
      <w:r>
        <w:rPr>
          <w:rFonts w:eastAsiaTheme="minorEastAsia" w:hint="eastAsia"/>
          <w:sz w:val="22"/>
          <w:lang w:val="en-US"/>
        </w:rPr>
        <w:t xml:space="preserve"> or RAN4</w:t>
      </w:r>
      <w:r w:rsidR="00CA63D5">
        <w:rPr>
          <w:rFonts w:eastAsiaTheme="minorEastAsia" w:hint="eastAsia"/>
          <w:sz w:val="22"/>
          <w:lang w:val="en-US"/>
        </w:rPr>
        <w:t xml:space="preserve"> spec</w:t>
      </w:r>
      <w:r>
        <w:rPr>
          <w:rFonts w:eastAsiaTheme="minorEastAsia" w:hint="eastAsia"/>
          <w:sz w:val="22"/>
          <w:lang w:val="en-US"/>
        </w:rPr>
        <w:t>. In th</w:t>
      </w:r>
      <w:r w:rsidR="008073A0">
        <w:rPr>
          <w:rFonts w:eastAsiaTheme="minorEastAsia" w:hint="eastAsia"/>
          <w:sz w:val="22"/>
          <w:lang w:val="en-US"/>
        </w:rPr>
        <w:t>at</w:t>
      </w:r>
      <w:r>
        <w:rPr>
          <w:rFonts w:eastAsiaTheme="minorEastAsia" w:hint="eastAsia"/>
          <w:sz w:val="22"/>
          <w:lang w:val="en-US"/>
        </w:rPr>
        <w:t xml:space="preserve"> sense, Alt. 3 will be simpler in terms of specification and UE implementation. Another thing is </w:t>
      </w:r>
      <w:r>
        <w:rPr>
          <w:rFonts w:eastAsiaTheme="minorEastAsia"/>
          <w:sz w:val="22"/>
          <w:lang w:val="en-US"/>
        </w:rPr>
        <w:t>that</w:t>
      </w:r>
      <w:r>
        <w:rPr>
          <w:rFonts w:eastAsiaTheme="minorEastAsia" w:hint="eastAsia"/>
          <w:sz w:val="22"/>
          <w:lang w:val="en-US"/>
        </w:rPr>
        <w:t xml:space="preserve"> the impact of the DC leakage on the UL demodulation performance as [2] implies that there is performance impact of half subcarrier shifting on UL DC leakage. However, Alt. 2 is the same as </w:t>
      </w:r>
      <w:r>
        <w:rPr>
          <w:rFonts w:eastAsiaTheme="minorEastAsia"/>
          <w:sz w:val="22"/>
          <w:lang w:val="en-US"/>
        </w:rPr>
        <w:t>that</w:t>
      </w:r>
      <w:r>
        <w:rPr>
          <w:rFonts w:eastAsiaTheme="minorEastAsia" w:hint="eastAsia"/>
          <w:sz w:val="22"/>
          <w:lang w:val="en-US"/>
        </w:rPr>
        <w:t xml:space="preserve"> for the current LTE uplink while Alt. 3 has been assumed for NR uplink. We note that there is the following outcome in TR38.802 related to handling of UL DC for NR. We are not certain if there are any further considerations on this point when NR-LTE coexistence in the uplink is considered. Considering the </w:t>
      </w:r>
      <w:r>
        <w:rPr>
          <w:rFonts w:eastAsiaTheme="minorEastAsia"/>
          <w:sz w:val="22"/>
          <w:lang w:val="en-US"/>
        </w:rPr>
        <w:t>specification</w:t>
      </w:r>
      <w:r>
        <w:rPr>
          <w:rFonts w:eastAsiaTheme="minorEastAsia" w:hint="eastAsia"/>
          <w:sz w:val="22"/>
          <w:lang w:val="en-US"/>
        </w:rPr>
        <w:t xml:space="preserve"> impact, we have slight preference for Alt. 3 if Alt. 2 or Alt. 3 is needed. </w:t>
      </w:r>
    </w:p>
    <w:p w14:paraId="24CB2B57" w14:textId="77777777" w:rsidR="00A3486C" w:rsidRPr="00A3486C" w:rsidRDefault="00A3486C" w:rsidP="00CC0644">
      <w:pPr>
        <w:spacing w:afterLines="50" w:after="120"/>
        <w:jc w:val="both"/>
        <w:rPr>
          <w:rFonts w:eastAsiaTheme="minorEastAsia"/>
          <w:sz w:val="22"/>
          <w:lang w:val="en-US"/>
        </w:rPr>
      </w:pPr>
    </w:p>
    <w:tbl>
      <w:tblPr>
        <w:tblStyle w:val="afa"/>
        <w:tblW w:w="0" w:type="auto"/>
        <w:tblLook w:val="04A0" w:firstRow="1" w:lastRow="0" w:firstColumn="1" w:lastColumn="0" w:noHBand="0" w:noVBand="1"/>
      </w:tblPr>
      <w:tblGrid>
        <w:gridCol w:w="10170"/>
      </w:tblGrid>
      <w:tr w:rsidR="00A3486C" w14:paraId="0991F3AF" w14:textId="77777777" w:rsidTr="00A3486C">
        <w:tc>
          <w:tcPr>
            <w:tcW w:w="10170" w:type="dxa"/>
          </w:tcPr>
          <w:p w14:paraId="22D196A8" w14:textId="77777777" w:rsidR="00A3486C" w:rsidRPr="00A3486C" w:rsidRDefault="00A3486C" w:rsidP="00A3486C">
            <w:pPr>
              <w:pStyle w:val="B1"/>
              <w:rPr>
                <w:sz w:val="22"/>
                <w:lang w:val="en-US"/>
              </w:rPr>
            </w:pPr>
            <w:r>
              <w:rPr>
                <w:rFonts w:hint="eastAsia"/>
                <w:lang w:val="en-US"/>
              </w:rPr>
              <w:t>-</w:t>
            </w:r>
            <w:r>
              <w:rPr>
                <w:rFonts w:hint="eastAsia"/>
                <w:lang w:val="en-US"/>
              </w:rPr>
              <w:tab/>
            </w:r>
            <w:r w:rsidRPr="00A3486C">
              <w:rPr>
                <w:rFonts w:hint="eastAsia"/>
                <w:sz w:val="22"/>
                <w:lang w:val="en-US"/>
              </w:rPr>
              <w:t>For the uplink, t</w:t>
            </w:r>
            <w:r w:rsidRPr="00A3486C">
              <w:rPr>
                <w:sz w:val="22"/>
                <w:lang w:val="en-US"/>
              </w:rPr>
              <w:t>ransmit</w:t>
            </w:r>
            <w:r w:rsidRPr="00A3486C">
              <w:rPr>
                <w:rFonts w:hint="eastAsia"/>
                <w:sz w:val="22"/>
                <w:lang w:val="en-US"/>
              </w:rPr>
              <w:t>ted</w:t>
            </w:r>
            <w:r w:rsidRPr="00A3486C">
              <w:rPr>
                <w:sz w:val="22"/>
                <w:lang w:val="en-US"/>
              </w:rPr>
              <w:t xml:space="preserve"> DC subcarrier at the transmitter (UE) side is modulated i.e., data is neither rate-matched nor punctured.</w:t>
            </w:r>
          </w:p>
          <w:p w14:paraId="5D8D66BF" w14:textId="77777777" w:rsidR="00A3486C" w:rsidRPr="00A3486C" w:rsidRDefault="00A3486C" w:rsidP="00A3486C">
            <w:pPr>
              <w:pStyle w:val="B2"/>
              <w:rPr>
                <w:rFonts w:eastAsia="Malgun Gothic"/>
                <w:sz w:val="22"/>
                <w:lang w:val="en-US"/>
              </w:rPr>
            </w:pPr>
            <w:r w:rsidRPr="00A3486C">
              <w:rPr>
                <w:rFonts w:eastAsia="Malgun Gothic"/>
                <w:sz w:val="22"/>
                <w:lang w:val="en-US"/>
              </w:rPr>
              <w:t>-</w:t>
            </w:r>
            <w:r w:rsidRPr="00A3486C">
              <w:rPr>
                <w:rFonts w:eastAsia="Malgun Gothic"/>
                <w:sz w:val="22"/>
                <w:lang w:val="en-US"/>
              </w:rPr>
              <w:tab/>
              <w:t>Signal quality requirement (e.g., EVM) corresponding to DC subcarriers is up to RAN4.</w:t>
            </w:r>
          </w:p>
          <w:p w14:paraId="14ABA4AD" w14:textId="77777777" w:rsidR="00A3486C" w:rsidRPr="00A3486C" w:rsidRDefault="00A3486C" w:rsidP="00A3486C">
            <w:pPr>
              <w:pStyle w:val="B1"/>
              <w:rPr>
                <w:sz w:val="22"/>
                <w:lang w:val="en-US"/>
              </w:rPr>
            </w:pPr>
            <w:r w:rsidRPr="00A3486C">
              <w:rPr>
                <w:sz w:val="22"/>
                <w:lang w:val="en-US"/>
              </w:rPr>
              <w:t>-</w:t>
            </w:r>
            <w:r w:rsidRPr="00A3486C">
              <w:rPr>
                <w:sz w:val="22"/>
                <w:lang w:val="en-US"/>
              </w:rPr>
              <w:tab/>
            </w:r>
            <w:r w:rsidRPr="00A3486C">
              <w:rPr>
                <w:rFonts w:hint="eastAsia"/>
                <w:sz w:val="22"/>
                <w:lang w:val="en-US"/>
              </w:rPr>
              <w:t>For the uplink, t</w:t>
            </w:r>
            <w:r w:rsidRPr="00A3486C">
              <w:rPr>
                <w:sz w:val="22"/>
                <w:lang w:val="en-US"/>
              </w:rPr>
              <w:t>he transmitter DC subcarrier at the transmitter (UE) side should avoid collisions at least with DMRS if possible</w:t>
            </w:r>
            <w:r w:rsidRPr="00A3486C">
              <w:rPr>
                <w:rFonts w:hint="eastAsia"/>
                <w:sz w:val="22"/>
                <w:lang w:val="en-US"/>
              </w:rPr>
              <w:t xml:space="preserve">. </w:t>
            </w:r>
          </w:p>
          <w:p w14:paraId="17D93AEB" w14:textId="77777777" w:rsidR="00A3486C" w:rsidRPr="00A3486C" w:rsidRDefault="00A3486C" w:rsidP="00A3486C">
            <w:pPr>
              <w:pStyle w:val="B1"/>
              <w:rPr>
                <w:sz w:val="22"/>
                <w:lang w:val="en-US"/>
              </w:rPr>
            </w:pPr>
            <w:r w:rsidRPr="00A3486C">
              <w:rPr>
                <w:sz w:val="22"/>
                <w:lang w:val="en-US"/>
              </w:rPr>
              <w:lastRenderedPageBreak/>
              <w:t>-</w:t>
            </w:r>
            <w:r w:rsidRPr="00A3486C">
              <w:rPr>
                <w:sz w:val="22"/>
                <w:lang w:val="en-US"/>
              </w:rPr>
              <w:tab/>
            </w:r>
            <w:r w:rsidRPr="00A3486C">
              <w:rPr>
                <w:rFonts w:hint="eastAsia"/>
                <w:sz w:val="22"/>
                <w:lang w:val="en-US"/>
              </w:rPr>
              <w:t>For the uplink t</w:t>
            </w:r>
            <w:r w:rsidRPr="00A3486C">
              <w:rPr>
                <w:sz w:val="22"/>
                <w:lang w:val="en-US"/>
              </w:rPr>
              <w:t>he specification should define at least one particular subcarrier as the candidate position of DC subcarrier, e.g., DC subcarrier is located at the boundary of PRBs</w:t>
            </w:r>
          </w:p>
          <w:p w14:paraId="03B61A73" w14:textId="77777777" w:rsidR="00A3486C" w:rsidRPr="00A3486C" w:rsidRDefault="00A3486C" w:rsidP="00A3486C">
            <w:pPr>
              <w:pStyle w:val="B1"/>
              <w:rPr>
                <w:sz w:val="22"/>
                <w:lang w:val="en-US"/>
              </w:rPr>
            </w:pPr>
            <w:r w:rsidRPr="00A3486C">
              <w:rPr>
                <w:sz w:val="22"/>
                <w:lang w:val="en-US"/>
              </w:rPr>
              <w:t>-</w:t>
            </w:r>
            <w:r w:rsidRPr="00A3486C">
              <w:rPr>
                <w:sz w:val="22"/>
                <w:lang w:val="en-US"/>
              </w:rPr>
              <w:tab/>
            </w:r>
            <w:r w:rsidRPr="00A3486C">
              <w:rPr>
                <w:rFonts w:hint="eastAsia"/>
                <w:sz w:val="22"/>
                <w:lang w:val="en-US"/>
              </w:rPr>
              <w:t xml:space="preserve">For the uplink, </w:t>
            </w:r>
            <w:r w:rsidRPr="00A3486C">
              <w:rPr>
                <w:sz w:val="22"/>
                <w:lang w:val="en-US"/>
              </w:rPr>
              <w:t>means for the receiver to determine DC subcarrier location</w:t>
            </w:r>
            <w:r w:rsidRPr="00A3486C">
              <w:rPr>
                <w:rFonts w:hint="eastAsia"/>
                <w:sz w:val="22"/>
                <w:lang w:val="en-US"/>
              </w:rPr>
              <w:t xml:space="preserve"> </w:t>
            </w:r>
            <w:r w:rsidRPr="00A3486C">
              <w:rPr>
                <w:sz w:val="22"/>
                <w:lang w:val="en-US"/>
              </w:rPr>
              <w:t>should</w:t>
            </w:r>
            <w:r w:rsidRPr="00A3486C">
              <w:rPr>
                <w:rFonts w:hint="eastAsia"/>
                <w:sz w:val="22"/>
                <w:lang w:val="en-US"/>
              </w:rPr>
              <w:t xml:space="preserve"> be specified.</w:t>
            </w:r>
          </w:p>
          <w:p w14:paraId="4E576386" w14:textId="24F0AB11" w:rsidR="00A3486C" w:rsidRPr="00A3486C" w:rsidRDefault="00A3486C" w:rsidP="00A3486C">
            <w:pPr>
              <w:pStyle w:val="B2"/>
              <w:rPr>
                <w:lang w:val="en-US"/>
              </w:rPr>
            </w:pPr>
            <w:r w:rsidRPr="00A3486C">
              <w:rPr>
                <w:sz w:val="22"/>
                <w:lang w:val="en-US"/>
              </w:rPr>
              <w:t>-</w:t>
            </w:r>
            <w:r w:rsidRPr="00A3486C">
              <w:rPr>
                <w:sz w:val="22"/>
                <w:lang w:val="en-US"/>
              </w:rPr>
              <w:tab/>
              <w:t xml:space="preserve">This involves semi-static </w:t>
            </w:r>
            <w:proofErr w:type="spellStart"/>
            <w:r w:rsidRPr="00A3486C">
              <w:rPr>
                <w:sz w:val="22"/>
                <w:lang w:val="en-US"/>
              </w:rPr>
              <w:t>signalling</w:t>
            </w:r>
            <w:proofErr w:type="spellEnd"/>
            <w:r w:rsidRPr="00A3486C">
              <w:rPr>
                <w:sz w:val="22"/>
                <w:lang w:val="en-US"/>
              </w:rPr>
              <w:t xml:space="preserve"> from UE and also standard specified DC subcarrier location</w:t>
            </w:r>
            <w:r w:rsidRPr="00A3486C">
              <w:rPr>
                <w:rFonts w:hint="eastAsia"/>
                <w:sz w:val="22"/>
                <w:lang w:val="en-US"/>
              </w:rPr>
              <w:t>.</w:t>
            </w:r>
          </w:p>
        </w:tc>
      </w:tr>
    </w:tbl>
    <w:p w14:paraId="214A818C" w14:textId="77777777" w:rsidR="00A3486C" w:rsidRDefault="00A3486C" w:rsidP="00CC0644">
      <w:pPr>
        <w:spacing w:afterLines="50" w:after="120"/>
        <w:jc w:val="both"/>
        <w:rPr>
          <w:rFonts w:eastAsiaTheme="minorEastAsia"/>
          <w:sz w:val="22"/>
          <w:lang w:val="en-US"/>
        </w:rPr>
      </w:pPr>
    </w:p>
    <w:p w14:paraId="79114EB6" w14:textId="177C0A78" w:rsidR="00A3486C" w:rsidRPr="006455AF" w:rsidRDefault="00A3486C" w:rsidP="00A3486C">
      <w:pPr>
        <w:spacing w:afterLines="50" w:after="120"/>
        <w:jc w:val="both"/>
        <w:rPr>
          <w:rFonts w:eastAsia="ＭＳ 明朝"/>
          <w:b/>
          <w:sz w:val="22"/>
          <w:lang w:val="en-US"/>
        </w:rPr>
      </w:pPr>
      <w:r w:rsidRPr="006455AF">
        <w:rPr>
          <w:rFonts w:eastAsia="ＭＳ 明朝"/>
          <w:b/>
          <w:sz w:val="22"/>
          <w:lang w:val="en-US"/>
        </w:rPr>
        <w:t xml:space="preserve">Proposal </w:t>
      </w:r>
      <w:r>
        <w:rPr>
          <w:rFonts w:eastAsia="ＭＳ 明朝" w:hint="eastAsia"/>
          <w:b/>
          <w:sz w:val="22"/>
          <w:lang w:val="en-US"/>
        </w:rPr>
        <w:t>4</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If subcarrier alignment between NR uplink and LTE uplink is necessary, </w:t>
      </w:r>
      <w:r w:rsidRPr="00A3486C">
        <w:rPr>
          <w:rFonts w:eastAsia="ＭＳ 明朝"/>
          <w:b/>
          <w:sz w:val="22"/>
          <w:lang w:val="en-US"/>
        </w:rPr>
        <w:t>NR UL raster with a 7.5 kHz shift to the LTE UL raster</w:t>
      </w:r>
      <w:r>
        <w:rPr>
          <w:rFonts w:eastAsia="ＭＳ 明朝" w:hint="eastAsia"/>
          <w:b/>
          <w:sz w:val="22"/>
          <w:lang w:val="en-US"/>
        </w:rPr>
        <w:t xml:space="preserve"> is </w:t>
      </w:r>
      <w:r>
        <w:rPr>
          <w:rFonts w:eastAsia="ＭＳ 明朝"/>
          <w:b/>
          <w:sz w:val="22"/>
          <w:lang w:val="en-US"/>
        </w:rPr>
        <w:t>preferred</w:t>
      </w:r>
      <w:r>
        <w:rPr>
          <w:rFonts w:eastAsia="ＭＳ 明朝" w:hint="eastAsia"/>
          <w:b/>
          <w:sz w:val="22"/>
          <w:lang w:val="en-US"/>
        </w:rPr>
        <w:t>.</w:t>
      </w:r>
    </w:p>
    <w:p w14:paraId="73A201C2" w14:textId="77777777" w:rsidR="00A3486C" w:rsidRPr="00A3486C" w:rsidRDefault="00A3486C" w:rsidP="00CC0644">
      <w:pPr>
        <w:spacing w:afterLines="50" w:after="120"/>
        <w:jc w:val="both"/>
        <w:rPr>
          <w:rFonts w:eastAsiaTheme="minorEastAsia"/>
          <w:sz w:val="22"/>
          <w:lang w:val="en-US"/>
        </w:rPr>
      </w:pPr>
    </w:p>
    <w:p w14:paraId="24D6EB0B"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403D89D" w14:textId="4850508C" w:rsidR="00FF00F2" w:rsidRDefault="00291E4B" w:rsidP="00AD5BB5">
      <w:pPr>
        <w:spacing w:afterLines="50" w:after="120"/>
        <w:jc w:val="both"/>
        <w:rPr>
          <w:sz w:val="22"/>
          <w:szCs w:val="24"/>
          <w:lang w:val="en-US"/>
        </w:rPr>
      </w:pPr>
      <w:r>
        <w:rPr>
          <w:rFonts w:hint="eastAsia"/>
          <w:sz w:val="22"/>
          <w:szCs w:val="24"/>
          <w:lang w:val="en-US"/>
        </w:rPr>
        <w:t>In this contribution</w:t>
      </w:r>
      <w:r>
        <w:rPr>
          <w:sz w:val="22"/>
          <w:szCs w:val="24"/>
          <w:lang w:val="en-US"/>
        </w:rPr>
        <w:t>,</w:t>
      </w:r>
      <w:r>
        <w:rPr>
          <w:rFonts w:hint="eastAsia"/>
          <w:sz w:val="22"/>
          <w:szCs w:val="24"/>
          <w:lang w:val="en-US"/>
        </w:rPr>
        <w:t xml:space="preserve"> we presented our views on LTE-NR co-existence. </w:t>
      </w:r>
      <w:r w:rsidR="00A3486C">
        <w:rPr>
          <w:sz w:val="22"/>
          <w:szCs w:val="24"/>
          <w:lang w:val="en-US"/>
        </w:rPr>
        <w:t xml:space="preserve">General principles and </w:t>
      </w:r>
      <w:r w:rsidR="00A3486C">
        <w:rPr>
          <w:rFonts w:hint="eastAsia"/>
          <w:sz w:val="22"/>
          <w:szCs w:val="24"/>
          <w:lang w:val="en-US"/>
        </w:rPr>
        <w:t>uplink</w:t>
      </w:r>
      <w:r>
        <w:rPr>
          <w:sz w:val="22"/>
          <w:szCs w:val="24"/>
          <w:lang w:val="en-US"/>
        </w:rPr>
        <w:t xml:space="preserve"> aspects are addressed. Our proposals are summarized as following:</w:t>
      </w:r>
    </w:p>
    <w:p w14:paraId="5542B4E6" w14:textId="77777777" w:rsidR="00A3486C" w:rsidRPr="00E42E54" w:rsidRDefault="00A3486C" w:rsidP="00A3486C">
      <w:pPr>
        <w:spacing w:afterLines="50" w:after="120"/>
        <w:jc w:val="both"/>
        <w:rPr>
          <w:rFonts w:eastAsia="ＭＳ 明朝"/>
          <w:b/>
          <w:sz w:val="22"/>
          <w:lang w:val="en-US"/>
        </w:rPr>
      </w:pPr>
      <w:r w:rsidRPr="00E42E54">
        <w:rPr>
          <w:rFonts w:eastAsia="ＭＳ 明朝"/>
          <w:b/>
          <w:sz w:val="22"/>
          <w:lang w:val="en-US"/>
        </w:rPr>
        <w:t>Proposal 1: LTE and NR uplink signals/channels are not mixed into one channel/signal.</w:t>
      </w:r>
    </w:p>
    <w:p w14:paraId="7B22B76A" w14:textId="77777777" w:rsidR="00A3486C" w:rsidRPr="00E42E54" w:rsidRDefault="00A3486C" w:rsidP="00A3486C">
      <w:pPr>
        <w:spacing w:afterLines="50" w:after="120"/>
        <w:jc w:val="both"/>
        <w:rPr>
          <w:rFonts w:eastAsia="ＭＳ 明朝"/>
          <w:b/>
          <w:sz w:val="22"/>
          <w:lang w:val="en-US"/>
        </w:rPr>
      </w:pPr>
      <w:r w:rsidRPr="00E42E54">
        <w:rPr>
          <w:rFonts w:eastAsia="ＭＳ 明朝"/>
          <w:b/>
          <w:sz w:val="22"/>
          <w:lang w:val="en-US"/>
        </w:rPr>
        <w:t xml:space="preserve">Proposal 2: </w:t>
      </w:r>
      <w:r>
        <w:rPr>
          <w:rFonts w:eastAsia="ＭＳ 明朝" w:hint="eastAsia"/>
          <w:b/>
          <w:sz w:val="22"/>
          <w:lang w:val="en-US"/>
        </w:rPr>
        <w:t>C</w:t>
      </w:r>
      <w:r w:rsidRPr="00010EFE">
        <w:rPr>
          <w:rFonts w:eastAsia="ＭＳ 明朝"/>
          <w:b/>
          <w:sz w:val="22"/>
          <w:lang w:val="en-US"/>
        </w:rPr>
        <w:t>o-existence of LTE UL and NR UL within the bandwidth of an LTE component carrier</w:t>
      </w:r>
      <w:r>
        <w:rPr>
          <w:rFonts w:eastAsia="ＭＳ 明朝" w:hint="eastAsia"/>
          <w:b/>
          <w:sz w:val="22"/>
          <w:lang w:val="en-US"/>
        </w:rPr>
        <w:t xml:space="preserve"> is enabled from network perspective. C</w:t>
      </w:r>
      <w:r w:rsidRPr="00010EFE">
        <w:rPr>
          <w:rFonts w:eastAsia="ＭＳ 明朝"/>
          <w:b/>
          <w:sz w:val="22"/>
          <w:lang w:val="en-US"/>
        </w:rPr>
        <w:t>o-existence of LTE UL and NR UL within the bandwidth of an LTE component carrier</w:t>
      </w:r>
      <w:r>
        <w:rPr>
          <w:rFonts w:eastAsia="ＭＳ 明朝" w:hint="eastAsia"/>
          <w:b/>
          <w:sz w:val="22"/>
          <w:lang w:val="en-US"/>
        </w:rPr>
        <w:t xml:space="preserve"> from UE perspective is not considered in Rel-15.</w:t>
      </w:r>
    </w:p>
    <w:p w14:paraId="14C8B54D" w14:textId="77777777" w:rsidR="00A3486C" w:rsidRPr="006455AF" w:rsidRDefault="00A3486C" w:rsidP="00A3486C">
      <w:pPr>
        <w:spacing w:afterLines="50" w:after="120"/>
        <w:jc w:val="both"/>
        <w:rPr>
          <w:rFonts w:eastAsia="ＭＳ 明朝"/>
          <w:b/>
          <w:sz w:val="22"/>
          <w:lang w:val="en-US"/>
        </w:rPr>
      </w:pPr>
      <w:r w:rsidRPr="006455AF">
        <w:rPr>
          <w:rFonts w:eastAsia="ＭＳ 明朝"/>
          <w:b/>
          <w:sz w:val="22"/>
          <w:lang w:val="en-US"/>
        </w:rPr>
        <w:t xml:space="preserve">Proposal </w:t>
      </w:r>
      <w:r>
        <w:rPr>
          <w:rFonts w:eastAsia="ＭＳ 明朝" w:hint="eastAsia"/>
          <w:b/>
          <w:sz w:val="22"/>
          <w:lang w:val="en-US"/>
        </w:rPr>
        <w:t>3</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Advantages and disadvantages of not aligning subcarrier </w:t>
      </w:r>
      <w:proofErr w:type="spellStart"/>
      <w:r>
        <w:rPr>
          <w:rFonts w:eastAsia="ＭＳ 明朝" w:hint="eastAsia"/>
          <w:b/>
          <w:sz w:val="22"/>
          <w:lang w:val="en-US"/>
        </w:rPr>
        <w:t>spacings</w:t>
      </w:r>
      <w:proofErr w:type="spellEnd"/>
      <w:r>
        <w:rPr>
          <w:rFonts w:eastAsia="ＭＳ 明朝" w:hint="eastAsia"/>
          <w:b/>
          <w:sz w:val="22"/>
          <w:lang w:val="en-US"/>
        </w:rPr>
        <w:t xml:space="preserve"> between LTE uplink and NR uplink should be carefully investigated.</w:t>
      </w:r>
    </w:p>
    <w:p w14:paraId="170609E2" w14:textId="77777777" w:rsidR="00A3486C" w:rsidRPr="006455AF" w:rsidRDefault="00A3486C" w:rsidP="00A3486C">
      <w:pPr>
        <w:spacing w:afterLines="50" w:after="120"/>
        <w:jc w:val="both"/>
        <w:rPr>
          <w:rFonts w:eastAsia="ＭＳ 明朝"/>
          <w:b/>
          <w:sz w:val="22"/>
          <w:lang w:val="en-US"/>
        </w:rPr>
      </w:pPr>
      <w:r w:rsidRPr="006455AF">
        <w:rPr>
          <w:rFonts w:eastAsia="ＭＳ 明朝"/>
          <w:b/>
          <w:sz w:val="22"/>
          <w:lang w:val="en-US"/>
        </w:rPr>
        <w:t xml:space="preserve">Proposal </w:t>
      </w:r>
      <w:r>
        <w:rPr>
          <w:rFonts w:eastAsia="ＭＳ 明朝" w:hint="eastAsia"/>
          <w:b/>
          <w:sz w:val="22"/>
          <w:lang w:val="en-US"/>
        </w:rPr>
        <w:t>4</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If subcarrier alignment between NR uplink and LTE uplink is necessary, </w:t>
      </w:r>
      <w:r w:rsidRPr="00A3486C">
        <w:rPr>
          <w:rFonts w:eastAsia="ＭＳ 明朝"/>
          <w:b/>
          <w:sz w:val="22"/>
          <w:lang w:val="en-US"/>
        </w:rPr>
        <w:t>NR UL raster with a 7.5 kHz shift to the LTE UL raster</w:t>
      </w:r>
      <w:r>
        <w:rPr>
          <w:rFonts w:eastAsia="ＭＳ 明朝" w:hint="eastAsia"/>
          <w:b/>
          <w:sz w:val="22"/>
          <w:lang w:val="en-US"/>
        </w:rPr>
        <w:t xml:space="preserve"> is </w:t>
      </w:r>
      <w:r>
        <w:rPr>
          <w:rFonts w:eastAsia="ＭＳ 明朝"/>
          <w:b/>
          <w:sz w:val="22"/>
          <w:lang w:val="en-US"/>
        </w:rPr>
        <w:t>preferred</w:t>
      </w:r>
      <w:r>
        <w:rPr>
          <w:rFonts w:eastAsia="ＭＳ 明朝" w:hint="eastAsia"/>
          <w:b/>
          <w:sz w:val="22"/>
          <w:lang w:val="en-US"/>
        </w:rPr>
        <w:t>.</w:t>
      </w:r>
    </w:p>
    <w:p w14:paraId="3D6DB9B3" w14:textId="77777777" w:rsidR="00E42E54" w:rsidRDefault="00E42E54" w:rsidP="00E42E54">
      <w:pPr>
        <w:spacing w:afterLines="50" w:after="120"/>
        <w:jc w:val="both"/>
        <w:rPr>
          <w:rFonts w:eastAsia="ＭＳ 明朝"/>
          <w:b/>
          <w:sz w:val="22"/>
          <w:lang w:val="en-US"/>
        </w:rPr>
      </w:pPr>
      <w:bookmarkStart w:id="3" w:name="_GoBack"/>
      <w:bookmarkEnd w:id="3"/>
    </w:p>
    <w:p w14:paraId="0F6383E7" w14:textId="77777777" w:rsidR="00E42E54" w:rsidRPr="003E2178" w:rsidRDefault="00E42E54" w:rsidP="00E42E54">
      <w:pPr>
        <w:pStyle w:val="1"/>
        <w:spacing w:after="120"/>
        <w:jc w:val="both"/>
        <w:rPr>
          <w:b/>
          <w:lang w:val="en-US"/>
        </w:rPr>
      </w:pPr>
      <w:r w:rsidRPr="003E2178">
        <w:rPr>
          <w:b/>
          <w:lang w:val="en-US"/>
        </w:rPr>
        <w:t>References</w:t>
      </w:r>
    </w:p>
    <w:p w14:paraId="77C7F428" w14:textId="77777777" w:rsidR="00E42E54" w:rsidRPr="00A3486C" w:rsidRDefault="00E42E54" w:rsidP="00E42E54">
      <w:pPr>
        <w:widowControl w:val="0"/>
        <w:numPr>
          <w:ilvl w:val="0"/>
          <w:numId w:val="4"/>
        </w:numPr>
        <w:spacing w:after="120"/>
        <w:jc w:val="both"/>
        <w:rPr>
          <w:rFonts w:eastAsia="ＭＳ 明朝"/>
          <w:sz w:val="22"/>
          <w:lang w:val="en-US"/>
        </w:rPr>
      </w:pPr>
      <w:r w:rsidRPr="003E2178">
        <w:rPr>
          <w:rFonts w:hint="eastAsia"/>
          <w:sz w:val="22"/>
          <w:szCs w:val="22"/>
          <w:lang w:val="en-US"/>
        </w:rPr>
        <w:t>3GPP RP-160</w:t>
      </w:r>
      <w:r>
        <w:rPr>
          <w:rFonts w:hint="eastAsia"/>
          <w:sz w:val="22"/>
          <w:szCs w:val="22"/>
          <w:lang w:val="en-US"/>
        </w:rPr>
        <w:t>855</w:t>
      </w:r>
      <w:r w:rsidRPr="003E2178">
        <w:rPr>
          <w:rFonts w:hint="eastAsia"/>
          <w:sz w:val="22"/>
          <w:szCs w:val="22"/>
          <w:lang w:val="en-US"/>
        </w:rPr>
        <w:t xml:space="preserve">, NTT DOCOMO, </w:t>
      </w:r>
      <w:r w:rsidRPr="003E2178">
        <w:rPr>
          <w:sz w:val="22"/>
          <w:szCs w:val="22"/>
          <w:lang w:val="en-US"/>
        </w:rPr>
        <w:t>“</w:t>
      </w:r>
      <w:r w:rsidRPr="00E25314">
        <w:rPr>
          <w:sz w:val="22"/>
          <w:szCs w:val="22"/>
          <w:lang w:val="en-US"/>
        </w:rPr>
        <w:t>New WID on New Radio Access Technology</w:t>
      </w:r>
      <w:r w:rsidRPr="003E2178">
        <w:rPr>
          <w:sz w:val="22"/>
          <w:szCs w:val="22"/>
          <w:lang w:val="en-US"/>
        </w:rPr>
        <w:t>”</w:t>
      </w:r>
      <w:r w:rsidRPr="003E2178">
        <w:rPr>
          <w:rFonts w:hint="eastAsia"/>
          <w:sz w:val="22"/>
          <w:szCs w:val="22"/>
          <w:lang w:val="en-US"/>
        </w:rPr>
        <w:t xml:space="preserve"> Mar. 201</w:t>
      </w:r>
      <w:r>
        <w:rPr>
          <w:rFonts w:hint="eastAsia"/>
          <w:sz w:val="22"/>
          <w:szCs w:val="22"/>
          <w:lang w:val="en-US"/>
        </w:rPr>
        <w:t>7</w:t>
      </w:r>
      <w:r w:rsidRPr="003E2178">
        <w:rPr>
          <w:rFonts w:hint="eastAsia"/>
          <w:sz w:val="22"/>
          <w:szCs w:val="22"/>
          <w:lang w:val="en-US"/>
        </w:rPr>
        <w:t>.</w:t>
      </w:r>
      <w:r w:rsidRPr="003E2178" w:rsidDel="00646AAE">
        <w:rPr>
          <w:rFonts w:hint="eastAsia"/>
          <w:sz w:val="22"/>
          <w:szCs w:val="22"/>
          <w:lang w:val="en-US"/>
        </w:rPr>
        <w:t xml:space="preserve"> </w:t>
      </w:r>
    </w:p>
    <w:p w14:paraId="706E4275" w14:textId="60A20248" w:rsidR="00A3486C" w:rsidRPr="00E25314" w:rsidRDefault="00A3486C" w:rsidP="00A3486C">
      <w:pPr>
        <w:widowControl w:val="0"/>
        <w:numPr>
          <w:ilvl w:val="0"/>
          <w:numId w:val="4"/>
        </w:numPr>
        <w:spacing w:after="120"/>
        <w:jc w:val="both"/>
        <w:rPr>
          <w:rFonts w:eastAsia="ＭＳ 明朝"/>
          <w:sz w:val="22"/>
          <w:lang w:val="en-US"/>
        </w:rPr>
      </w:pPr>
      <w:r>
        <w:rPr>
          <w:rFonts w:eastAsia="ＭＳ 明朝" w:hint="eastAsia"/>
          <w:sz w:val="22"/>
          <w:lang w:val="en-US"/>
        </w:rPr>
        <w:t xml:space="preserve">3GPP </w:t>
      </w:r>
      <w:r>
        <w:rPr>
          <w:rFonts w:eastAsia="ＭＳ 明朝"/>
          <w:sz w:val="22"/>
          <w:lang w:val="en-US"/>
        </w:rPr>
        <w:t>R1-1706568</w:t>
      </w:r>
      <w:r>
        <w:rPr>
          <w:rFonts w:eastAsia="ＭＳ 明朝" w:hint="eastAsia"/>
          <w:sz w:val="22"/>
          <w:lang w:val="en-US"/>
        </w:rPr>
        <w:t xml:space="preserve">, Huawei, et al., </w:t>
      </w:r>
      <w:r>
        <w:rPr>
          <w:rFonts w:eastAsia="ＭＳ 明朝"/>
          <w:sz w:val="22"/>
          <w:lang w:val="en-US"/>
        </w:rPr>
        <w:t>“</w:t>
      </w:r>
      <w:r w:rsidRPr="00A3486C">
        <w:rPr>
          <w:rFonts w:eastAsia="ＭＳ 明朝"/>
          <w:sz w:val="22"/>
          <w:lang w:val="en-US"/>
        </w:rPr>
        <w:t>WF on LTE-NR UL Coexistence</w:t>
      </w:r>
      <w:r>
        <w:rPr>
          <w:rFonts w:eastAsia="ＭＳ 明朝" w:hint="eastAsia"/>
          <w:sz w:val="22"/>
          <w:lang w:val="en-US"/>
        </w:rPr>
        <w:t>,</w:t>
      </w:r>
      <w:r>
        <w:rPr>
          <w:rFonts w:eastAsia="ＭＳ 明朝"/>
          <w:sz w:val="22"/>
          <w:lang w:val="en-US"/>
        </w:rPr>
        <w:t>”</w:t>
      </w:r>
      <w:r>
        <w:rPr>
          <w:rFonts w:eastAsia="ＭＳ 明朝" w:hint="eastAsia"/>
          <w:sz w:val="22"/>
          <w:lang w:val="en-US"/>
        </w:rPr>
        <w:t xml:space="preserve"> April 2017.</w:t>
      </w:r>
    </w:p>
    <w:p w14:paraId="3579E829" w14:textId="77777777" w:rsidR="00E42E54" w:rsidRPr="00E42E54" w:rsidRDefault="00E42E54" w:rsidP="00E42E54">
      <w:pPr>
        <w:spacing w:afterLines="50" w:after="120"/>
        <w:jc w:val="both"/>
        <w:rPr>
          <w:sz w:val="22"/>
          <w:szCs w:val="22"/>
          <w:lang w:val="en-US"/>
        </w:rPr>
      </w:pPr>
    </w:p>
    <w:sectPr w:rsidR="00E42E54" w:rsidRPr="00E42E54">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725CF3" w14:textId="77777777" w:rsidR="00943701" w:rsidRDefault="00943701">
      <w:r>
        <w:separator/>
      </w:r>
    </w:p>
  </w:endnote>
  <w:endnote w:type="continuationSeparator" w:id="0">
    <w:p w14:paraId="4F8EA307" w14:textId="77777777" w:rsidR="00943701" w:rsidRDefault="00943701">
      <w:r>
        <w:continuationSeparator/>
      </w:r>
    </w:p>
  </w:endnote>
  <w:endnote w:type="continuationNotice" w:id="1">
    <w:p w14:paraId="61CC2855" w14:textId="77777777" w:rsidR="00943701" w:rsidRDefault="009437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ゴシック Light">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05EB4" w14:textId="7491B9BC"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CA63D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CA63D5">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D73710" w14:textId="77777777" w:rsidR="00943701" w:rsidRDefault="00943701">
      <w:r>
        <w:separator/>
      </w:r>
    </w:p>
  </w:footnote>
  <w:footnote w:type="continuationSeparator" w:id="0">
    <w:p w14:paraId="06570D94" w14:textId="77777777" w:rsidR="00943701" w:rsidRDefault="00943701">
      <w:r>
        <w:continuationSeparator/>
      </w:r>
    </w:p>
  </w:footnote>
  <w:footnote w:type="continuationNotice" w:id="1">
    <w:p w14:paraId="143A03CC" w14:textId="77777777" w:rsidR="00943701" w:rsidRDefault="0094370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84229C"/>
    <w:multiLevelType w:val="hybridMultilevel"/>
    <w:tmpl w:val="C2640786"/>
    <w:lvl w:ilvl="0" w:tplc="2102923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2A34D9D"/>
    <w:multiLevelType w:val="hybridMultilevel"/>
    <w:tmpl w:val="95F45BF6"/>
    <w:lvl w:ilvl="0" w:tplc="55EE1206">
      <w:start w:val="1"/>
      <w:numFmt w:val="bullet"/>
      <w:lvlText w:val="•"/>
      <w:lvlJc w:val="left"/>
      <w:pPr>
        <w:tabs>
          <w:tab w:val="num" w:pos="720"/>
        </w:tabs>
        <w:ind w:left="720" w:hanging="360"/>
      </w:pPr>
      <w:rPr>
        <w:rFonts w:ascii="ＭＳ Ｐゴシック" w:hAnsi="ＭＳ Ｐゴシック" w:hint="default"/>
      </w:rPr>
    </w:lvl>
    <w:lvl w:ilvl="1" w:tplc="E364199E" w:tentative="1">
      <w:start w:val="1"/>
      <w:numFmt w:val="bullet"/>
      <w:lvlText w:val="•"/>
      <w:lvlJc w:val="left"/>
      <w:pPr>
        <w:tabs>
          <w:tab w:val="num" w:pos="1440"/>
        </w:tabs>
        <w:ind w:left="1440" w:hanging="360"/>
      </w:pPr>
      <w:rPr>
        <w:rFonts w:ascii="ＭＳ Ｐゴシック" w:hAnsi="ＭＳ Ｐゴシック" w:hint="default"/>
      </w:rPr>
    </w:lvl>
    <w:lvl w:ilvl="2" w:tplc="0A0CEB78" w:tentative="1">
      <w:start w:val="1"/>
      <w:numFmt w:val="bullet"/>
      <w:lvlText w:val="•"/>
      <w:lvlJc w:val="left"/>
      <w:pPr>
        <w:tabs>
          <w:tab w:val="num" w:pos="2160"/>
        </w:tabs>
        <w:ind w:left="2160" w:hanging="360"/>
      </w:pPr>
      <w:rPr>
        <w:rFonts w:ascii="ＭＳ Ｐゴシック" w:hAnsi="ＭＳ Ｐゴシック" w:hint="default"/>
      </w:rPr>
    </w:lvl>
    <w:lvl w:ilvl="3" w:tplc="D80858CE" w:tentative="1">
      <w:start w:val="1"/>
      <w:numFmt w:val="bullet"/>
      <w:lvlText w:val="•"/>
      <w:lvlJc w:val="left"/>
      <w:pPr>
        <w:tabs>
          <w:tab w:val="num" w:pos="2880"/>
        </w:tabs>
        <w:ind w:left="2880" w:hanging="360"/>
      </w:pPr>
      <w:rPr>
        <w:rFonts w:ascii="ＭＳ Ｐゴシック" w:hAnsi="ＭＳ Ｐゴシック" w:hint="default"/>
      </w:rPr>
    </w:lvl>
    <w:lvl w:ilvl="4" w:tplc="61B4BC96" w:tentative="1">
      <w:start w:val="1"/>
      <w:numFmt w:val="bullet"/>
      <w:lvlText w:val="•"/>
      <w:lvlJc w:val="left"/>
      <w:pPr>
        <w:tabs>
          <w:tab w:val="num" w:pos="3600"/>
        </w:tabs>
        <w:ind w:left="3600" w:hanging="360"/>
      </w:pPr>
      <w:rPr>
        <w:rFonts w:ascii="ＭＳ Ｐゴシック" w:hAnsi="ＭＳ Ｐゴシック" w:hint="default"/>
      </w:rPr>
    </w:lvl>
    <w:lvl w:ilvl="5" w:tplc="4A38BCB2" w:tentative="1">
      <w:start w:val="1"/>
      <w:numFmt w:val="bullet"/>
      <w:lvlText w:val="•"/>
      <w:lvlJc w:val="left"/>
      <w:pPr>
        <w:tabs>
          <w:tab w:val="num" w:pos="4320"/>
        </w:tabs>
        <w:ind w:left="4320" w:hanging="360"/>
      </w:pPr>
      <w:rPr>
        <w:rFonts w:ascii="ＭＳ Ｐゴシック" w:hAnsi="ＭＳ Ｐゴシック" w:hint="default"/>
      </w:rPr>
    </w:lvl>
    <w:lvl w:ilvl="6" w:tplc="AF7EE4E8" w:tentative="1">
      <w:start w:val="1"/>
      <w:numFmt w:val="bullet"/>
      <w:lvlText w:val="•"/>
      <w:lvlJc w:val="left"/>
      <w:pPr>
        <w:tabs>
          <w:tab w:val="num" w:pos="5040"/>
        </w:tabs>
        <w:ind w:left="5040" w:hanging="360"/>
      </w:pPr>
      <w:rPr>
        <w:rFonts w:ascii="ＭＳ Ｐゴシック" w:hAnsi="ＭＳ Ｐゴシック" w:hint="default"/>
      </w:rPr>
    </w:lvl>
    <w:lvl w:ilvl="7" w:tplc="5AF61C54" w:tentative="1">
      <w:start w:val="1"/>
      <w:numFmt w:val="bullet"/>
      <w:lvlText w:val="•"/>
      <w:lvlJc w:val="left"/>
      <w:pPr>
        <w:tabs>
          <w:tab w:val="num" w:pos="5760"/>
        </w:tabs>
        <w:ind w:left="5760" w:hanging="360"/>
      </w:pPr>
      <w:rPr>
        <w:rFonts w:ascii="ＭＳ Ｐゴシック" w:hAnsi="ＭＳ Ｐゴシック" w:hint="default"/>
      </w:rPr>
    </w:lvl>
    <w:lvl w:ilvl="8" w:tplc="269A61E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529D24CB"/>
    <w:multiLevelType w:val="hybridMultilevel"/>
    <w:tmpl w:val="A5B6DA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721731DF"/>
    <w:multiLevelType w:val="hybridMultilevel"/>
    <w:tmpl w:val="D7C08238"/>
    <w:lvl w:ilvl="0" w:tplc="0840EC7E">
      <w:start w:val="1"/>
      <w:numFmt w:val="bullet"/>
      <w:lvlText w:val="•"/>
      <w:lvlJc w:val="left"/>
      <w:pPr>
        <w:tabs>
          <w:tab w:val="num" w:pos="720"/>
        </w:tabs>
        <w:ind w:left="720" w:hanging="360"/>
      </w:pPr>
      <w:rPr>
        <w:rFonts w:ascii="ＭＳ Ｐゴシック" w:hAnsi="ＭＳ Ｐゴシック" w:hint="default"/>
      </w:rPr>
    </w:lvl>
    <w:lvl w:ilvl="1" w:tplc="243A4FF8">
      <w:start w:val="5764"/>
      <w:numFmt w:val="bullet"/>
      <w:lvlText w:val="–"/>
      <w:lvlJc w:val="left"/>
      <w:pPr>
        <w:tabs>
          <w:tab w:val="num" w:pos="1440"/>
        </w:tabs>
        <w:ind w:left="1440" w:hanging="360"/>
      </w:pPr>
      <w:rPr>
        <w:rFonts w:ascii="ＭＳ Ｐゴシック" w:hAnsi="ＭＳ Ｐゴシック" w:hint="default"/>
      </w:rPr>
    </w:lvl>
    <w:lvl w:ilvl="2" w:tplc="2D90753A" w:tentative="1">
      <w:start w:val="1"/>
      <w:numFmt w:val="bullet"/>
      <w:lvlText w:val="•"/>
      <w:lvlJc w:val="left"/>
      <w:pPr>
        <w:tabs>
          <w:tab w:val="num" w:pos="2160"/>
        </w:tabs>
        <w:ind w:left="2160" w:hanging="360"/>
      </w:pPr>
      <w:rPr>
        <w:rFonts w:ascii="ＭＳ Ｐゴシック" w:hAnsi="ＭＳ Ｐゴシック" w:hint="default"/>
      </w:rPr>
    </w:lvl>
    <w:lvl w:ilvl="3" w:tplc="C1662114" w:tentative="1">
      <w:start w:val="1"/>
      <w:numFmt w:val="bullet"/>
      <w:lvlText w:val="•"/>
      <w:lvlJc w:val="left"/>
      <w:pPr>
        <w:tabs>
          <w:tab w:val="num" w:pos="2880"/>
        </w:tabs>
        <w:ind w:left="2880" w:hanging="360"/>
      </w:pPr>
      <w:rPr>
        <w:rFonts w:ascii="ＭＳ Ｐゴシック" w:hAnsi="ＭＳ Ｐゴシック" w:hint="default"/>
      </w:rPr>
    </w:lvl>
    <w:lvl w:ilvl="4" w:tplc="51741E80" w:tentative="1">
      <w:start w:val="1"/>
      <w:numFmt w:val="bullet"/>
      <w:lvlText w:val="•"/>
      <w:lvlJc w:val="left"/>
      <w:pPr>
        <w:tabs>
          <w:tab w:val="num" w:pos="3600"/>
        </w:tabs>
        <w:ind w:left="3600" w:hanging="360"/>
      </w:pPr>
      <w:rPr>
        <w:rFonts w:ascii="ＭＳ Ｐゴシック" w:hAnsi="ＭＳ Ｐゴシック" w:hint="default"/>
      </w:rPr>
    </w:lvl>
    <w:lvl w:ilvl="5" w:tplc="6BEA7090" w:tentative="1">
      <w:start w:val="1"/>
      <w:numFmt w:val="bullet"/>
      <w:lvlText w:val="•"/>
      <w:lvlJc w:val="left"/>
      <w:pPr>
        <w:tabs>
          <w:tab w:val="num" w:pos="4320"/>
        </w:tabs>
        <w:ind w:left="4320" w:hanging="360"/>
      </w:pPr>
      <w:rPr>
        <w:rFonts w:ascii="ＭＳ Ｐゴシック" w:hAnsi="ＭＳ Ｐゴシック" w:hint="default"/>
      </w:rPr>
    </w:lvl>
    <w:lvl w:ilvl="6" w:tplc="D416C814" w:tentative="1">
      <w:start w:val="1"/>
      <w:numFmt w:val="bullet"/>
      <w:lvlText w:val="•"/>
      <w:lvlJc w:val="left"/>
      <w:pPr>
        <w:tabs>
          <w:tab w:val="num" w:pos="5040"/>
        </w:tabs>
        <w:ind w:left="5040" w:hanging="360"/>
      </w:pPr>
      <w:rPr>
        <w:rFonts w:ascii="ＭＳ Ｐゴシック" w:hAnsi="ＭＳ Ｐゴシック" w:hint="default"/>
      </w:rPr>
    </w:lvl>
    <w:lvl w:ilvl="7" w:tplc="65DC0824" w:tentative="1">
      <w:start w:val="1"/>
      <w:numFmt w:val="bullet"/>
      <w:lvlText w:val="•"/>
      <w:lvlJc w:val="left"/>
      <w:pPr>
        <w:tabs>
          <w:tab w:val="num" w:pos="5760"/>
        </w:tabs>
        <w:ind w:left="5760" w:hanging="360"/>
      </w:pPr>
      <w:rPr>
        <w:rFonts w:ascii="ＭＳ Ｐゴシック" w:hAnsi="ＭＳ Ｐゴシック" w:hint="default"/>
      </w:rPr>
    </w:lvl>
    <w:lvl w:ilvl="8" w:tplc="926CB10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1">
    <w:nsid w:val="74855395"/>
    <w:multiLevelType w:val="hybridMultilevel"/>
    <w:tmpl w:val="1B1EC9F8"/>
    <w:lvl w:ilvl="0" w:tplc="B1B868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F425F6B"/>
    <w:multiLevelType w:val="hybridMultilevel"/>
    <w:tmpl w:val="96BE9BFC"/>
    <w:lvl w:ilvl="0" w:tplc="FF6EB8B4">
      <w:start w:val="1"/>
      <w:numFmt w:val="bullet"/>
      <w:lvlText w:val="•"/>
      <w:lvlJc w:val="left"/>
      <w:pPr>
        <w:ind w:left="720" w:hanging="360"/>
      </w:pPr>
      <w:rPr>
        <w:rFonts w:ascii="ＭＳ Ｐゴシック" w:hAnsi="ＭＳ Ｐゴシック"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2"/>
  </w:num>
  <w:num w:numId="5">
    <w:abstractNumId w:val="12"/>
  </w:num>
  <w:num w:numId="6">
    <w:abstractNumId w:val="7"/>
  </w:num>
  <w:num w:numId="7">
    <w:abstractNumId w:val="9"/>
  </w:num>
  <w:num w:numId="8">
    <w:abstractNumId w:val="3"/>
  </w:num>
  <w:num w:numId="9">
    <w:abstractNumId w:val="11"/>
  </w:num>
  <w:num w:numId="10">
    <w:abstractNumId w:val="1"/>
  </w:num>
  <w:num w:numId="11">
    <w:abstractNumId w:val="6"/>
  </w:num>
  <w:num w:numId="12">
    <w:abstractNumId w:val="13"/>
  </w:num>
  <w:num w:numId="13">
    <w:abstractNumId w:val="4"/>
  </w:num>
  <w:num w:numId="1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0EFE"/>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5A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DA8"/>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55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C7A0E"/>
    <w:rsid w:val="000D00B7"/>
    <w:rsid w:val="000D0184"/>
    <w:rsid w:val="000D0461"/>
    <w:rsid w:val="000D0465"/>
    <w:rsid w:val="000D0F6A"/>
    <w:rsid w:val="000D11BF"/>
    <w:rsid w:val="000D1543"/>
    <w:rsid w:val="000D243E"/>
    <w:rsid w:val="000D26B1"/>
    <w:rsid w:val="000D2BBB"/>
    <w:rsid w:val="000D3567"/>
    <w:rsid w:val="000D3B84"/>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4B6"/>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0F75"/>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495"/>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1C0"/>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96D"/>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1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E8D"/>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65"/>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1CB"/>
    <w:rsid w:val="00246630"/>
    <w:rsid w:val="0024663E"/>
    <w:rsid w:val="00246BC3"/>
    <w:rsid w:val="00246CBE"/>
    <w:rsid w:val="00246E7C"/>
    <w:rsid w:val="00247478"/>
    <w:rsid w:val="00247712"/>
    <w:rsid w:val="00247BE8"/>
    <w:rsid w:val="00247D0B"/>
    <w:rsid w:val="00247FDD"/>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00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39"/>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1E4B"/>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CE4"/>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64"/>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4B"/>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AE8"/>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44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A40"/>
    <w:rsid w:val="003A2EFB"/>
    <w:rsid w:val="003A3938"/>
    <w:rsid w:val="003A3DE2"/>
    <w:rsid w:val="003A4246"/>
    <w:rsid w:val="003A42C9"/>
    <w:rsid w:val="003A4469"/>
    <w:rsid w:val="003A4670"/>
    <w:rsid w:val="003A4A4E"/>
    <w:rsid w:val="003A4D3C"/>
    <w:rsid w:val="003A5FEA"/>
    <w:rsid w:val="003A6297"/>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B3"/>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BDE"/>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C50"/>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1DC1"/>
    <w:rsid w:val="00402097"/>
    <w:rsid w:val="004020C5"/>
    <w:rsid w:val="0040244D"/>
    <w:rsid w:val="004028A9"/>
    <w:rsid w:val="00402E6C"/>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9C5"/>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C4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278"/>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468"/>
    <w:rsid w:val="004B082D"/>
    <w:rsid w:val="004B100A"/>
    <w:rsid w:val="004B112E"/>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7C4"/>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6F0C"/>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342"/>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02D"/>
    <w:rsid w:val="00526C12"/>
    <w:rsid w:val="00526FCF"/>
    <w:rsid w:val="00527079"/>
    <w:rsid w:val="0052718A"/>
    <w:rsid w:val="00527194"/>
    <w:rsid w:val="005272A2"/>
    <w:rsid w:val="00527B3D"/>
    <w:rsid w:val="00527F83"/>
    <w:rsid w:val="00530224"/>
    <w:rsid w:val="005306D8"/>
    <w:rsid w:val="00530A46"/>
    <w:rsid w:val="00530BD1"/>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467"/>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C36"/>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983"/>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448"/>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4E75"/>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5B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34"/>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1D54"/>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6FE"/>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2A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41"/>
    <w:rsid w:val="00657591"/>
    <w:rsid w:val="0065769A"/>
    <w:rsid w:val="00657E49"/>
    <w:rsid w:val="0066020C"/>
    <w:rsid w:val="00660CC6"/>
    <w:rsid w:val="00660EFE"/>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8A5"/>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942"/>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42C"/>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5D7F"/>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DFE"/>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165"/>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996"/>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00E"/>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3A0"/>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A09"/>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5F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3C"/>
    <w:rsid w:val="00874DCF"/>
    <w:rsid w:val="00874FD8"/>
    <w:rsid w:val="00875408"/>
    <w:rsid w:val="00875599"/>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1E9E"/>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32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5872"/>
    <w:rsid w:val="008C648F"/>
    <w:rsid w:val="008C69F0"/>
    <w:rsid w:val="008C6BBC"/>
    <w:rsid w:val="008C75C9"/>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6DB5"/>
    <w:rsid w:val="008D7298"/>
    <w:rsid w:val="008D756D"/>
    <w:rsid w:val="008D76D3"/>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5D0"/>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BE1"/>
    <w:rsid w:val="00940CA3"/>
    <w:rsid w:val="00940D71"/>
    <w:rsid w:val="00940DC6"/>
    <w:rsid w:val="009411A4"/>
    <w:rsid w:val="00941687"/>
    <w:rsid w:val="00941C46"/>
    <w:rsid w:val="00941D46"/>
    <w:rsid w:val="009422DA"/>
    <w:rsid w:val="00942462"/>
    <w:rsid w:val="0094280D"/>
    <w:rsid w:val="00942B8B"/>
    <w:rsid w:val="00943701"/>
    <w:rsid w:val="00943970"/>
    <w:rsid w:val="00943A68"/>
    <w:rsid w:val="00943CE5"/>
    <w:rsid w:val="00943D10"/>
    <w:rsid w:val="00943E96"/>
    <w:rsid w:val="00943ECB"/>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70A"/>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E21"/>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3A6A"/>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702"/>
    <w:rsid w:val="009B2A6A"/>
    <w:rsid w:val="009B2C69"/>
    <w:rsid w:val="009B327B"/>
    <w:rsid w:val="009B39C1"/>
    <w:rsid w:val="009B47FB"/>
    <w:rsid w:val="009B499C"/>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767"/>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658"/>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86C"/>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1BC7"/>
    <w:rsid w:val="00A62AA0"/>
    <w:rsid w:val="00A62EB4"/>
    <w:rsid w:val="00A6304A"/>
    <w:rsid w:val="00A63ABF"/>
    <w:rsid w:val="00A63C59"/>
    <w:rsid w:val="00A63CA0"/>
    <w:rsid w:val="00A63EA9"/>
    <w:rsid w:val="00A64240"/>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AC"/>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9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6E57"/>
    <w:rsid w:val="00B1715A"/>
    <w:rsid w:val="00B17446"/>
    <w:rsid w:val="00B17939"/>
    <w:rsid w:val="00B17EF8"/>
    <w:rsid w:val="00B20142"/>
    <w:rsid w:val="00B20475"/>
    <w:rsid w:val="00B20537"/>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216"/>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4D"/>
    <w:rsid w:val="00B3483A"/>
    <w:rsid w:val="00B34B4C"/>
    <w:rsid w:val="00B34BC3"/>
    <w:rsid w:val="00B35C69"/>
    <w:rsid w:val="00B362BB"/>
    <w:rsid w:val="00B36586"/>
    <w:rsid w:val="00B372E7"/>
    <w:rsid w:val="00B37878"/>
    <w:rsid w:val="00B37CC1"/>
    <w:rsid w:val="00B37E64"/>
    <w:rsid w:val="00B407E1"/>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D8"/>
    <w:rsid w:val="00B50595"/>
    <w:rsid w:val="00B5070E"/>
    <w:rsid w:val="00B5087E"/>
    <w:rsid w:val="00B51DAD"/>
    <w:rsid w:val="00B51E7A"/>
    <w:rsid w:val="00B52486"/>
    <w:rsid w:val="00B52797"/>
    <w:rsid w:val="00B5282D"/>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8B7"/>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278"/>
    <w:rsid w:val="00BA4886"/>
    <w:rsid w:val="00BA4D72"/>
    <w:rsid w:val="00BA56FA"/>
    <w:rsid w:val="00BA5738"/>
    <w:rsid w:val="00BA66E2"/>
    <w:rsid w:val="00BA67C2"/>
    <w:rsid w:val="00BA730C"/>
    <w:rsid w:val="00BA7AD6"/>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5DCC"/>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498"/>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AF2"/>
    <w:rsid w:val="00C07B9E"/>
    <w:rsid w:val="00C1005A"/>
    <w:rsid w:val="00C10240"/>
    <w:rsid w:val="00C1058D"/>
    <w:rsid w:val="00C105FE"/>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90D"/>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0D"/>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8E7"/>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3D5"/>
    <w:rsid w:val="00CA6A9B"/>
    <w:rsid w:val="00CA6B7B"/>
    <w:rsid w:val="00CA6BF8"/>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8F"/>
    <w:rsid w:val="00CC02E1"/>
    <w:rsid w:val="00CC051C"/>
    <w:rsid w:val="00CC0644"/>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8C"/>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C4F"/>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303"/>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CE9"/>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3AD"/>
    <w:rsid w:val="00DD245D"/>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3F8A"/>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86C"/>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2E54"/>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9C7"/>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823"/>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0D93"/>
    <w:rsid w:val="00EA14B4"/>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56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66"/>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D8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377158">
      <w:bodyDiv w:val="1"/>
      <w:marLeft w:val="0"/>
      <w:marRight w:val="0"/>
      <w:marTop w:val="0"/>
      <w:marBottom w:val="0"/>
      <w:divBdr>
        <w:top w:val="none" w:sz="0" w:space="0" w:color="auto"/>
        <w:left w:val="none" w:sz="0" w:space="0" w:color="auto"/>
        <w:bottom w:val="none" w:sz="0" w:space="0" w:color="auto"/>
        <w:right w:val="none" w:sz="0" w:space="0" w:color="auto"/>
      </w:divBdr>
      <w:divsChild>
        <w:div w:id="173542849">
          <w:marLeft w:val="547"/>
          <w:marRight w:val="0"/>
          <w:marTop w:val="96"/>
          <w:marBottom w:val="0"/>
          <w:divBdr>
            <w:top w:val="none" w:sz="0" w:space="0" w:color="auto"/>
            <w:left w:val="none" w:sz="0" w:space="0" w:color="auto"/>
            <w:bottom w:val="none" w:sz="0" w:space="0" w:color="auto"/>
            <w:right w:val="none" w:sz="0" w:space="0" w:color="auto"/>
          </w:divBdr>
        </w:div>
        <w:div w:id="1350260736">
          <w:marLeft w:val="1166"/>
          <w:marRight w:val="0"/>
          <w:marTop w:val="8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6924529">
      <w:bodyDiv w:val="1"/>
      <w:marLeft w:val="0"/>
      <w:marRight w:val="0"/>
      <w:marTop w:val="0"/>
      <w:marBottom w:val="0"/>
      <w:divBdr>
        <w:top w:val="none" w:sz="0" w:space="0" w:color="auto"/>
        <w:left w:val="none" w:sz="0" w:space="0" w:color="auto"/>
        <w:bottom w:val="none" w:sz="0" w:space="0" w:color="auto"/>
        <w:right w:val="none" w:sz="0" w:space="0" w:color="auto"/>
      </w:divBdr>
      <w:divsChild>
        <w:div w:id="1831825538">
          <w:marLeft w:val="547"/>
          <w:marRight w:val="0"/>
          <w:marTop w:val="96"/>
          <w:marBottom w:val="0"/>
          <w:divBdr>
            <w:top w:val="none" w:sz="0" w:space="0" w:color="auto"/>
            <w:left w:val="none" w:sz="0" w:space="0" w:color="auto"/>
            <w:bottom w:val="none" w:sz="0" w:space="0" w:color="auto"/>
            <w:right w:val="none" w:sz="0" w:space="0" w:color="auto"/>
          </w:divBdr>
        </w:div>
        <w:div w:id="1718357786">
          <w:marLeft w:val="1166"/>
          <w:marRight w:val="0"/>
          <w:marTop w:val="86"/>
          <w:marBottom w:val="0"/>
          <w:divBdr>
            <w:top w:val="none" w:sz="0" w:space="0" w:color="auto"/>
            <w:left w:val="none" w:sz="0" w:space="0" w:color="auto"/>
            <w:bottom w:val="none" w:sz="0" w:space="0" w:color="auto"/>
            <w:right w:val="none" w:sz="0" w:space="0" w:color="auto"/>
          </w:divBdr>
        </w:div>
        <w:div w:id="364141312">
          <w:marLeft w:val="1800"/>
          <w:marRight w:val="0"/>
          <w:marTop w:val="77"/>
          <w:marBottom w:val="0"/>
          <w:divBdr>
            <w:top w:val="none" w:sz="0" w:space="0" w:color="auto"/>
            <w:left w:val="none" w:sz="0" w:space="0" w:color="auto"/>
            <w:bottom w:val="none" w:sz="0" w:space="0" w:color="auto"/>
            <w:right w:val="none" w:sz="0" w:space="0" w:color="auto"/>
          </w:divBdr>
        </w:div>
        <w:div w:id="125005140">
          <w:marLeft w:val="1800"/>
          <w:marRight w:val="0"/>
          <w:marTop w:val="77"/>
          <w:marBottom w:val="0"/>
          <w:divBdr>
            <w:top w:val="none" w:sz="0" w:space="0" w:color="auto"/>
            <w:left w:val="none" w:sz="0" w:space="0" w:color="auto"/>
            <w:bottom w:val="none" w:sz="0" w:space="0" w:color="auto"/>
            <w:right w:val="none" w:sz="0" w:space="0" w:color="auto"/>
          </w:divBdr>
        </w:div>
        <w:div w:id="521212000">
          <w:marLeft w:val="2520"/>
          <w:marRight w:val="0"/>
          <w:marTop w:val="77"/>
          <w:marBottom w:val="0"/>
          <w:divBdr>
            <w:top w:val="none" w:sz="0" w:space="0" w:color="auto"/>
            <w:left w:val="none" w:sz="0" w:space="0" w:color="auto"/>
            <w:bottom w:val="none" w:sz="0" w:space="0" w:color="auto"/>
            <w:right w:val="none" w:sz="0" w:space="0" w:color="auto"/>
          </w:divBdr>
        </w:div>
        <w:div w:id="708528826">
          <w:marLeft w:val="252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7037862">
      <w:bodyDiv w:val="1"/>
      <w:marLeft w:val="0"/>
      <w:marRight w:val="0"/>
      <w:marTop w:val="0"/>
      <w:marBottom w:val="0"/>
      <w:divBdr>
        <w:top w:val="none" w:sz="0" w:space="0" w:color="auto"/>
        <w:left w:val="none" w:sz="0" w:space="0" w:color="auto"/>
        <w:bottom w:val="none" w:sz="0" w:space="0" w:color="auto"/>
        <w:right w:val="none" w:sz="0" w:space="0" w:color="auto"/>
      </w:divBdr>
      <w:divsChild>
        <w:div w:id="1187792914">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1272</Words>
  <Characters>7253</Characters>
  <Application>Microsoft Office Word</Application>
  <DocSecurity>0</DocSecurity>
  <Lines>60</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8508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4</cp:revision>
  <cp:lastPrinted>2015-04-11T00:59:00Z</cp:lastPrinted>
  <dcterms:created xsi:type="dcterms:W3CDTF">2017-05-05T06:13:00Z</dcterms:created>
  <dcterms:modified xsi:type="dcterms:W3CDTF">2017-05-05T06:25:00Z</dcterms:modified>
</cp:coreProperties>
</file>